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B28" w:rsidP="008C5B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UEERA0097 Install, commission, service and maintain variable refrigerant flow air conditioning systems</w:t>
      </w:r>
      <w:r>
        <w:fldChar w:fldCharType="end"/>
      </w:r>
    </w:p>
    <w:p w:rsidR="008C5B28" w:rsidP="008C5B28">
      <w:pPr>
        <w:pStyle w:val="Version"/>
        <w:sectPr w:rsidSect="00F87D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DB7" w:rsidP="00F87DB7">
      <w:pPr>
        <w:pStyle w:val="SuperHeading"/>
      </w:pPr>
      <w:r w:rsidRPr="00F87DB7">
        <w:t>Assessment Requirements for UEERA0097 Install, commission, service and maintain variable refrigerant flow air conditioning systems</w:t>
      </w:r>
    </w:p>
    <w:p w:rsidR="00000000" w:rsidRPr="00F87DB7" w:rsidP="00F87DB7">
      <w:pPr>
        <w:pStyle w:val="Heading1"/>
      </w:pPr>
      <w:bookmarkStart w:id="1" w:name="O_1184267"/>
      <w:bookmarkEnd w:id="1"/>
      <w:r w:rsidRPr="00F87D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B7" w:rsidP="00F87DB7">
            <w:pPr>
              <w:pStyle w:val="BodyText"/>
            </w:pPr>
            <w:r w:rsidRPr="00F87DB7">
              <w:t>Release 1. This is the first release of this unit of competency in the UEE Electrotechnology Training Package.</w:t>
            </w:r>
          </w:p>
        </w:tc>
      </w:tr>
    </w:tbl>
    <w:p w:rsidR="00000000" w:rsidRPr="00F87DB7" w:rsidP="00F87DB7">
      <w:pPr>
        <w:pStyle w:val="NoPaddingFontSize1"/>
      </w:pPr>
    </w:p>
    <w:p w:rsidR="00000000" w:rsidRPr="00F87DB7" w:rsidP="00F87DB7">
      <w:pPr>
        <w:pStyle w:val="AllowPageBreak"/>
      </w:pPr>
    </w:p>
    <w:p w:rsidR="00000000" w:rsidRPr="00F87DB7" w:rsidP="00F87DB7">
      <w:pPr>
        <w:pStyle w:val="Heading1"/>
      </w:pPr>
      <w:bookmarkStart w:id="2" w:name="O_1184268"/>
      <w:bookmarkEnd w:id="2"/>
      <w:r w:rsidRPr="00F87DB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B7">
            <w:pPr>
              <w:pStyle w:val="BodyText"/>
              <w:rPr>
                <w:lang w:val="en-NZ"/>
              </w:rPr>
            </w:pPr>
            <w:r w:rsidRPr="00F87DB7">
              <w:t>Evidence required to demonstrate competence in this unit must be relevant to and satisfy all of the req</w:t>
            </w:r>
            <w:r w:rsidRPr="00F87DB7">
              <w:t xml:space="preserve">uirements of the elements and performance criteria on at least two separate occasions and include: </w:t>
            </w:r>
          </w:p>
        </w:tc>
      </w:tr>
      <w:tr w:rsidTr="00F87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B7" w:rsidP="00F87DB7">
            <w:pPr>
              <w:pStyle w:val="ListBullet"/>
            </w:pPr>
            <w:r w:rsidRPr="00F87DB7">
              <w:t>installing and commissioning multi head variable refrigerant flow (VRF) air conditioning systems in accordance with manufacturer specifications</w:t>
            </w:r>
          </w:p>
          <w:p w:rsidR="00000000" w:rsidRPr="00F87DB7" w:rsidP="00F87DB7">
            <w:pPr>
              <w:pStyle w:val="ListBullet"/>
            </w:pPr>
            <w:r w:rsidRPr="00F87DB7">
              <w:t>using manu</w:t>
            </w:r>
            <w:r w:rsidRPr="00F87DB7">
              <w:t>facturer diagnostic tool to assist in finding two of the following faults on a variable refrigerant flow air conditioning system (Note: one fault to be applied to the VRF system on each occasion):</w:t>
            </w:r>
          </w:p>
          <w:p w:rsidR="00000000" w:rsidRPr="00F87DB7" w:rsidP="00F87DB7">
            <w:pPr>
              <w:pStyle w:val="ListBullet2"/>
            </w:pPr>
            <w:r w:rsidRPr="00F87DB7">
              <w:t>contaminants in the system</w:t>
            </w:r>
          </w:p>
          <w:p w:rsidR="00000000" w:rsidRPr="00F87DB7" w:rsidP="00F87DB7">
            <w:pPr>
              <w:pStyle w:val="ListBullet2"/>
            </w:pPr>
            <w:r w:rsidRPr="00F87DB7">
              <w:t>incorrect refrigerant charge</w:t>
            </w:r>
          </w:p>
          <w:p w:rsidR="00000000" w:rsidRPr="00F87DB7" w:rsidP="00F87DB7">
            <w:pPr>
              <w:pStyle w:val="ListBullet2"/>
            </w:pPr>
            <w:r w:rsidRPr="00F87DB7">
              <w:t>faulty pressure and temperature sensors</w:t>
            </w:r>
          </w:p>
          <w:p w:rsidR="00000000" w:rsidRPr="00F87DB7" w:rsidP="00F87DB7">
            <w:pPr>
              <w:pStyle w:val="ListBullet2"/>
            </w:pPr>
            <w:r w:rsidRPr="00F87DB7">
              <w:t>communication errors</w:t>
            </w:r>
          </w:p>
          <w:p w:rsidR="00000000" w:rsidRPr="00F87DB7" w:rsidP="00F87DB7">
            <w:pPr>
              <w:pStyle w:val="ListBullet2"/>
            </w:pPr>
            <w:r w:rsidRPr="00F87DB7">
              <w:t>faulty fan motors</w:t>
            </w:r>
          </w:p>
          <w:p w:rsidR="00000000" w:rsidRPr="00F87DB7" w:rsidP="00F87DB7">
            <w:pPr>
              <w:pStyle w:val="ListBullet2"/>
            </w:pPr>
            <w:r w:rsidRPr="00F87DB7">
              <w:t>faulty refrigerant metering device (RMD)</w:t>
            </w:r>
          </w:p>
          <w:p w:rsidR="00000000" w:rsidRPr="00F87DB7" w:rsidP="00F87DB7">
            <w:pPr>
              <w:pStyle w:val="ListBullet2"/>
            </w:pPr>
            <w:r w:rsidRPr="00F87DB7">
              <w:t>insufficient airflow</w:t>
            </w:r>
          </w:p>
          <w:p w:rsidR="00000000" w:rsidRPr="00F87DB7" w:rsidP="00F87DB7">
            <w:pPr>
              <w:pStyle w:val="ListBullet"/>
            </w:pPr>
            <w:r w:rsidRPr="00F87DB7">
              <w:t>completing required documentation and record keeping</w:t>
            </w:r>
          </w:p>
          <w:p w:rsidR="00000000" w:rsidRPr="00F87DB7" w:rsidP="00F87DB7">
            <w:pPr>
              <w:pStyle w:val="ListBullet"/>
            </w:pPr>
            <w:r w:rsidRPr="00F87DB7">
              <w:t>applying relevant work health and safety (WHS)/occupational h</w:t>
            </w:r>
            <w:r w:rsidRPr="00F87DB7">
              <w:t>ealth and safety (OHS) requirements</w:t>
            </w:r>
          </w:p>
          <w:p w:rsidR="00000000" w:rsidRPr="00F87DB7" w:rsidP="00F87DB7">
            <w:pPr>
              <w:pStyle w:val="ListBullet"/>
            </w:pPr>
            <w:r w:rsidRPr="00F87DB7">
              <w:t>applying relevant manufacturer specifications, Australian Standards, regulation and codes of practice.</w:t>
            </w:r>
          </w:p>
        </w:tc>
      </w:tr>
    </w:tbl>
    <w:p w:rsidR="00000000" w:rsidRPr="00F87DB7" w:rsidP="00F87DB7">
      <w:pPr>
        <w:pStyle w:val="NoPaddingFontSize1"/>
      </w:pPr>
    </w:p>
    <w:p w:rsidR="00000000" w:rsidRPr="00F87DB7" w:rsidP="00F87DB7">
      <w:pPr>
        <w:pStyle w:val="AllowPageBreak"/>
      </w:pPr>
    </w:p>
    <w:p w:rsidR="00000000" w:rsidRPr="00F87DB7" w:rsidP="00F87DB7">
      <w:pPr>
        <w:pStyle w:val="Heading1"/>
      </w:pPr>
      <w:bookmarkStart w:id="3" w:name="O_1184269"/>
      <w:bookmarkEnd w:id="3"/>
      <w:r w:rsidRPr="00F87DB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B7">
            <w:pPr>
              <w:pStyle w:val="BodyText"/>
              <w:rPr>
                <w:lang w:val="en-NZ"/>
              </w:rPr>
            </w:pPr>
            <w:r w:rsidRPr="00F87DB7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F87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B7" w:rsidP="00F87DB7">
            <w:pPr>
              <w:pStyle w:val="ListBullet"/>
            </w:pPr>
            <w:r w:rsidRPr="00F87DB7">
              <w:t>VRF air conditioning systems including:</w:t>
            </w:r>
          </w:p>
          <w:p w:rsidR="00000000" w:rsidRPr="00F87DB7" w:rsidP="00F87DB7">
            <w:pPr>
              <w:pStyle w:val="ListBullet2"/>
            </w:pPr>
            <w:r w:rsidRPr="00F87DB7">
              <w:t>different types, their component</w:t>
            </w:r>
            <w:r w:rsidRPr="00F87DB7">
              <w:t>s and application</w:t>
            </w:r>
          </w:p>
          <w:p w:rsidR="00000000" w:rsidRPr="00F87DB7" w:rsidP="00F87DB7">
            <w:pPr>
              <w:pStyle w:val="ListBullet2"/>
            </w:pPr>
            <w:r w:rsidRPr="00F87DB7">
              <w:t>operating principles (cooling, heat pump and heat recovery)</w:t>
            </w:r>
          </w:p>
          <w:p w:rsidR="00000000" w:rsidRPr="00F87DB7" w:rsidP="00F87DB7">
            <w:pPr>
              <w:pStyle w:val="ListBullet2"/>
            </w:pPr>
            <w:r w:rsidRPr="00F87DB7">
              <w:t>control principles</w:t>
            </w:r>
          </w:p>
          <w:p w:rsidR="00000000" w:rsidRPr="00F87DB7" w:rsidP="00F87DB7">
            <w:pPr>
              <w:pStyle w:val="ListBullet2"/>
            </w:pPr>
            <w:r w:rsidRPr="00F87DB7">
              <w:t>operation in the heating and cooling cycles</w:t>
            </w:r>
          </w:p>
          <w:p w:rsidR="00000000" w:rsidRPr="00F87DB7" w:rsidP="00F87DB7">
            <w:pPr>
              <w:pStyle w:val="ListBullet2"/>
            </w:pPr>
            <w:r w:rsidRPr="00F87DB7">
              <w:t>accessing manufacturer specifications and instructions</w:t>
            </w:r>
          </w:p>
          <w:p w:rsidR="00000000" w:rsidRPr="00F87DB7" w:rsidP="00F87DB7">
            <w:pPr>
              <w:pStyle w:val="ListBullet"/>
            </w:pPr>
            <w:r w:rsidRPr="00F87DB7">
              <w:t>VRF pipework including:</w:t>
            </w:r>
          </w:p>
          <w:p w:rsidR="00000000" w:rsidRPr="00F87DB7" w:rsidP="00F87DB7">
            <w:pPr>
              <w:pStyle w:val="ListBullet2"/>
            </w:pPr>
            <w:r w:rsidRPr="00F87DB7">
              <w:t>refrigerant pipe layout and installation requirements including:</w:t>
            </w:r>
          </w:p>
          <w:p w:rsidR="00000000" w:rsidRPr="00F87DB7" w:rsidP="00F87DB7">
            <w:pPr>
              <w:pStyle w:val="ListBullet3"/>
            </w:pPr>
            <w:r w:rsidRPr="00F87DB7">
              <w:t>pipe diameter, length and wall thickness</w:t>
            </w:r>
          </w:p>
          <w:p w:rsidR="00000000" w:rsidRPr="00F87DB7" w:rsidP="00F87DB7">
            <w:pPr>
              <w:pStyle w:val="ListBullet3"/>
            </w:pPr>
            <w:r w:rsidRPr="00F87DB7">
              <w:t>pipe branch orientation and connections</w:t>
            </w:r>
          </w:p>
          <w:p w:rsidR="00000000" w:rsidRPr="00F87DB7" w:rsidP="00F87DB7">
            <w:pPr>
              <w:pStyle w:val="ListBullet3"/>
            </w:pPr>
            <w:r w:rsidRPr="00F87DB7">
              <w:t>expansion and contraction of pipework</w:t>
            </w:r>
          </w:p>
          <w:p w:rsidR="00000000" w:rsidRPr="00F87DB7" w:rsidP="00F87DB7">
            <w:pPr>
              <w:pStyle w:val="ListBullet3"/>
            </w:pPr>
            <w:r w:rsidRPr="00F87DB7">
              <w:t>piping support</w:t>
            </w:r>
          </w:p>
          <w:p w:rsidR="00000000" w:rsidRPr="00F87DB7" w:rsidP="00F87DB7">
            <w:pPr>
              <w:pStyle w:val="ListBullet2"/>
            </w:pPr>
            <w:r w:rsidRPr="00F87DB7">
              <w:t>condensate and traps</w:t>
            </w:r>
          </w:p>
          <w:p w:rsidR="00000000" w:rsidRPr="00F87DB7" w:rsidP="00F87DB7">
            <w:pPr>
              <w:pStyle w:val="ListBullet2"/>
            </w:pPr>
            <w:r w:rsidRPr="00F87DB7">
              <w:t>technique for condensate flow testing</w:t>
            </w:r>
          </w:p>
          <w:p w:rsidR="00000000" w:rsidRPr="00F87DB7" w:rsidP="00F87DB7">
            <w:pPr>
              <w:pStyle w:val="ListBullet"/>
            </w:pPr>
            <w:r w:rsidRPr="00F87DB7">
              <w:t>VRF wiring including:</w:t>
            </w:r>
          </w:p>
          <w:p w:rsidR="00000000" w:rsidRPr="00F87DB7" w:rsidP="00F87DB7">
            <w:pPr>
              <w:pStyle w:val="ListBullet2"/>
            </w:pPr>
            <w:r w:rsidRPr="00F87DB7">
              <w:t>separation of power and communications cabling</w:t>
            </w:r>
          </w:p>
          <w:p w:rsidR="00000000" w:rsidRPr="00F87DB7" w:rsidP="00F87DB7">
            <w:pPr>
              <w:pStyle w:val="ListBullet2"/>
            </w:pPr>
            <w:r w:rsidRPr="00F87DB7">
              <w:t>communication wiring requirements and component addressing</w:t>
            </w:r>
          </w:p>
          <w:p w:rsidR="00000000" w:rsidRPr="00F87DB7" w:rsidP="00F87DB7">
            <w:pPr>
              <w:pStyle w:val="ListBullet"/>
            </w:pPr>
            <w:r w:rsidRPr="00F87DB7">
              <w:t>requirements for branch box installation location</w:t>
            </w:r>
          </w:p>
          <w:p w:rsidR="00000000" w:rsidRPr="00F87DB7" w:rsidP="00F87DB7">
            <w:pPr>
              <w:pStyle w:val="ListBullet"/>
            </w:pPr>
            <w:r w:rsidRPr="00F87DB7">
              <w:t>requirements for installation of multiple outdoor VRF units</w:t>
            </w:r>
          </w:p>
          <w:p w:rsidR="00000000" w:rsidRPr="00F87DB7" w:rsidP="00F87DB7">
            <w:pPr>
              <w:pStyle w:val="ListBullet"/>
            </w:pPr>
            <w:r w:rsidRPr="00F87DB7">
              <w:t>working with refrigerants in VRF systems including:</w:t>
            </w:r>
          </w:p>
          <w:p w:rsidR="00000000" w:rsidRPr="00F87DB7" w:rsidP="00F87DB7">
            <w:pPr>
              <w:pStyle w:val="ListBullet2"/>
            </w:pPr>
            <w:r w:rsidRPr="00F87DB7">
              <w:t>checking and adding charge of refrigerant</w:t>
            </w:r>
          </w:p>
          <w:p w:rsidR="00000000" w:rsidRPr="00F87DB7" w:rsidP="00F87DB7">
            <w:pPr>
              <w:pStyle w:val="ListBullet2"/>
            </w:pPr>
            <w:r w:rsidRPr="00F87DB7">
              <w:t>procedure to check system valves are open during pressure test and evacuation</w:t>
            </w:r>
          </w:p>
          <w:p w:rsidR="00000000" w:rsidRPr="00F87DB7" w:rsidP="00F87DB7">
            <w:pPr>
              <w:pStyle w:val="ListBullet2"/>
            </w:pPr>
            <w:r w:rsidRPr="00F87DB7">
              <w:t>refrigerant leakage con</w:t>
            </w:r>
            <w:r w:rsidRPr="00F87DB7">
              <w:t>centration levels permitted in enclosed spaces</w:t>
            </w:r>
          </w:p>
          <w:p w:rsidR="00000000" w:rsidRPr="00F87DB7" w:rsidP="00F87DB7">
            <w:pPr>
              <w:pStyle w:val="ListBullet"/>
            </w:pPr>
            <w:r w:rsidRPr="00F87DB7">
              <w:t>symptoms of typical faults and repair techniques including:</w:t>
            </w:r>
          </w:p>
          <w:p w:rsidR="00000000" w:rsidRPr="00F87DB7" w:rsidP="00F87DB7">
            <w:pPr>
              <w:pStyle w:val="ListBullet2"/>
            </w:pPr>
            <w:r w:rsidRPr="00F87DB7">
              <w:t>contaminants in the system</w:t>
            </w:r>
          </w:p>
          <w:p w:rsidR="00000000" w:rsidRPr="00F87DB7" w:rsidP="00F87DB7">
            <w:pPr>
              <w:pStyle w:val="ListBullet2"/>
            </w:pPr>
            <w:r w:rsidRPr="00F87DB7">
              <w:t>incorrect refrigerant charge</w:t>
            </w:r>
          </w:p>
          <w:p w:rsidR="00000000" w:rsidRPr="00F87DB7" w:rsidP="00F87DB7">
            <w:pPr>
              <w:pStyle w:val="ListBullet2"/>
            </w:pPr>
            <w:r w:rsidRPr="00F87DB7">
              <w:t>faulty pressure and temperature sensors</w:t>
            </w:r>
          </w:p>
          <w:p w:rsidR="00000000" w:rsidRPr="00F87DB7" w:rsidP="00F87DB7">
            <w:pPr>
              <w:pStyle w:val="ListBullet2"/>
            </w:pPr>
            <w:r w:rsidRPr="00F87DB7">
              <w:t>communication errors</w:t>
            </w:r>
          </w:p>
          <w:p w:rsidR="00000000" w:rsidRPr="00F87DB7" w:rsidP="00F87DB7">
            <w:pPr>
              <w:pStyle w:val="ListBullet2"/>
            </w:pPr>
            <w:r w:rsidRPr="00F87DB7">
              <w:t>faulty electronically commutat</w:t>
            </w:r>
            <w:r w:rsidRPr="00F87DB7">
              <w:t>ed (EC) motors</w:t>
            </w:r>
          </w:p>
          <w:p w:rsidR="00000000" w:rsidRPr="00F87DB7" w:rsidP="00F87DB7">
            <w:pPr>
              <w:pStyle w:val="ListBullet2"/>
            </w:pPr>
            <w:r w:rsidRPr="00F87DB7">
              <w:t>faulty refrigerant metering device (RMD)</w:t>
            </w:r>
          </w:p>
          <w:p w:rsidR="00000000" w:rsidRPr="00F87DB7" w:rsidP="00F87DB7">
            <w:pPr>
              <w:pStyle w:val="ListBullet2"/>
            </w:pPr>
            <w:r w:rsidRPr="00F87DB7">
              <w:t>insufficient airflow</w:t>
            </w:r>
          </w:p>
          <w:p w:rsidR="00000000" w:rsidRPr="00F87DB7" w:rsidP="00F87DB7">
            <w:pPr>
              <w:pStyle w:val="ListBullet"/>
            </w:pPr>
            <w:r w:rsidRPr="00F87DB7">
              <w:t>maintenance requirements specific to VRF systems</w:t>
            </w:r>
          </w:p>
          <w:p w:rsidR="00000000" w:rsidRPr="00F87DB7" w:rsidP="00F87DB7">
            <w:pPr>
              <w:pStyle w:val="ListBullet"/>
            </w:pPr>
            <w:r w:rsidRPr="00F87DB7">
              <w:t>commissioning requirements specific to VRF systems</w:t>
            </w:r>
          </w:p>
          <w:p w:rsidR="00000000" w:rsidRPr="00F87DB7" w:rsidP="00F87DB7">
            <w:pPr>
              <w:pStyle w:val="ListBullet"/>
            </w:pPr>
            <w:r w:rsidRPr="00F87DB7">
              <w:t>manufacturer programs and tools including:</w:t>
            </w:r>
          </w:p>
          <w:p w:rsidR="00000000" w:rsidRPr="00F87DB7" w:rsidP="00F87DB7">
            <w:pPr>
              <w:pStyle w:val="ListBullet2"/>
            </w:pPr>
            <w:r w:rsidRPr="00F87DB7">
              <w:t>built-in self-commission test</w:t>
            </w:r>
          </w:p>
          <w:p w:rsidR="00000000" w:rsidRPr="00F87DB7" w:rsidP="00F87DB7">
            <w:pPr>
              <w:pStyle w:val="ListBullet2"/>
            </w:pPr>
            <w:r w:rsidRPr="00F87DB7">
              <w:t>plug-in diagnostic tools.</w:t>
            </w:r>
          </w:p>
        </w:tc>
      </w:tr>
    </w:tbl>
    <w:p w:rsidR="00000000" w:rsidRPr="00F87DB7" w:rsidP="00F87DB7">
      <w:pPr>
        <w:pStyle w:val="NoPaddingFontSize1"/>
      </w:pPr>
    </w:p>
    <w:p w:rsidR="00000000" w:rsidRPr="00F87DB7" w:rsidP="00F87DB7">
      <w:pPr>
        <w:pStyle w:val="AllowPageBreak"/>
      </w:pPr>
    </w:p>
    <w:p w:rsidR="00000000" w:rsidRPr="00F87DB7" w:rsidP="00F87DB7">
      <w:pPr>
        <w:pStyle w:val="Heading1"/>
      </w:pPr>
      <w:bookmarkStart w:id="4" w:name="O_1184270"/>
      <w:bookmarkEnd w:id="4"/>
      <w:r w:rsidRPr="00F87DB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B7" w:rsidP="00F87DB7">
            <w:pPr>
              <w:pStyle w:val="BodyText"/>
            </w:pPr>
            <w:r w:rsidRPr="00F87DB7">
              <w:t xml:space="preserve">Assessors must hold credentials specified within the Standards for Registered Training Organisations current at the time of assessment. </w:t>
            </w:r>
          </w:p>
          <w:p w:rsidR="00000000" w:rsidRPr="00F87DB7" w:rsidP="00F87DB7">
            <w:pPr>
              <w:pStyle w:val="BodyText"/>
            </w:pPr>
            <w:r w:rsidRPr="00F87DB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87DB7" w:rsidP="00F87DB7">
            <w:pPr>
              <w:pStyle w:val="BodyText"/>
            </w:pPr>
            <w:r w:rsidRPr="00F87DB7">
              <w:t>Assessment must occur in workplace operational</w:t>
            </w:r>
            <w:r w:rsidRPr="00F87DB7">
              <w:t xml:space="preserve"> situations where it is appropriate to do so; where this is not appropriate, assessment must occur in simulated workplace operational situations that replicate workplace conditions. </w:t>
            </w:r>
          </w:p>
          <w:p w:rsidR="00000000" w:rsidRPr="00F87DB7" w:rsidP="00F87DB7">
            <w:pPr>
              <w:pStyle w:val="BodyText"/>
            </w:pPr>
            <w:r w:rsidRPr="00F87DB7">
              <w:t xml:space="preserve">Assessment processes and techniques must be appropriate to the language, </w:t>
            </w:r>
            <w:r w:rsidRPr="00F87DB7">
              <w:t>literacy and numeracy requirements of the work being performed and the needs of the candidate.</w:t>
            </w:r>
          </w:p>
          <w:p w:rsidR="00000000" w:rsidRPr="00F87DB7" w:rsidP="00F87DB7">
            <w:pPr>
              <w:pStyle w:val="BodyText"/>
            </w:pPr>
            <w:r w:rsidRPr="00F87DB7">
              <w:t>Resources for assessment must include access to:</w:t>
            </w:r>
          </w:p>
          <w:p w:rsidR="00000000" w:rsidRPr="00F87DB7" w:rsidP="00F87DB7">
            <w:pPr>
              <w:pStyle w:val="ListBullet"/>
            </w:pPr>
            <w:r w:rsidRPr="00F87DB7">
              <w:t xml:space="preserve">relevant and appropriate materials, tools, equipment and personal protective equipment (PPE) currently used in </w:t>
            </w:r>
            <w:r w:rsidRPr="00F87DB7">
              <w:t xml:space="preserve">industry </w:t>
            </w:r>
          </w:p>
          <w:p w:rsidR="00000000" w:rsidRPr="00F87DB7" w:rsidP="00F87DB7">
            <w:pPr>
              <w:pStyle w:val="ListBullet"/>
            </w:pPr>
            <w:r w:rsidRPr="00F87DB7">
              <w:tab/>
              <w:t>applicable documentation, including workplace procedures, Australian Standards, equipment specifications, regulations, codes of practice and operation manuals.</w:t>
            </w:r>
          </w:p>
        </w:tc>
      </w:tr>
    </w:tbl>
    <w:p w:rsidR="00000000" w:rsidRPr="00F87DB7" w:rsidP="00F87DB7">
      <w:pPr>
        <w:pStyle w:val="NoPaddingFontSize1"/>
      </w:pPr>
    </w:p>
    <w:p w:rsidR="00000000" w:rsidRPr="00F87DB7" w:rsidP="00F87DB7">
      <w:pPr>
        <w:pStyle w:val="AllowPageBreak"/>
      </w:pPr>
    </w:p>
    <w:p w:rsidR="00000000" w:rsidRPr="00F87DB7" w:rsidP="00F87DB7">
      <w:pPr>
        <w:pStyle w:val="Heading1"/>
      </w:pPr>
      <w:bookmarkStart w:id="5" w:name="O_1184273"/>
      <w:bookmarkEnd w:id="5"/>
      <w:r w:rsidRPr="00F87DB7">
        <w:t>Links</w:t>
      </w:r>
    </w:p>
    <w:p w:rsidR="00000000" w:rsidRPr="00F87DB7" w:rsidP="008C5B28">
      <w:pPr>
        <w:pStyle w:val="BodyText"/>
      </w:pPr>
      <w:r w:rsidRPr="00F87DB7">
        <w:t>Companion Volume Implementation Guides are found in VETNet</w:t>
      </w:r>
      <w:r w:rsidRPr="00F87DB7">
        <w:t xml:space="preserve">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91EF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87DB7" w:rsidP="00F87DB7"/>
    <w:sectPr w:rsidSect="00F87D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B7" w:rsidRPr="008C5B28" w:rsidP="008C5B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B28" w:rsidP="00F87D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5B28" w:rsidP="00F87D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C5B28" w:rsidP="00F87D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B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DB7" w:rsidRPr="008C5B28" w:rsidP="008C5B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B28" w:rsidRPr="002D2AF8" w:rsidP="00F87D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UEERA0097 Install, commission, service and maintain variable refrigerant flow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C5B28" w:rsidP="00F87D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D222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6A7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5E3B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D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D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D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D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D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D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D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D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D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D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D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DB7"/>
  </w:style>
  <w:style w:type="character" w:customStyle="1" w:styleId="Heading1Char">
    <w:name w:val="Heading 1 Char"/>
    <w:basedOn w:val="DefaultParagraphFont"/>
    <w:link w:val="Heading1"/>
    <w:rsid w:val="00F87D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D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D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DB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7D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7D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D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7DB7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7D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D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D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D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D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D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D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D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D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D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D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D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D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D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D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D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7DB7"/>
    <w:rPr>
      <w:b/>
      <w:spacing w:val="0"/>
    </w:rPr>
  </w:style>
  <w:style w:type="paragraph" w:customStyle="1" w:styleId="SuperTitle">
    <w:name w:val="SuperTitle"/>
    <w:basedOn w:val="Title"/>
    <w:rsid w:val="00F87D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D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D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D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D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D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D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D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D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D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D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D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DB7"/>
    <w:rPr>
      <w:i/>
    </w:rPr>
  </w:style>
  <w:style w:type="paragraph" w:styleId="Caption">
    <w:name w:val="caption"/>
    <w:basedOn w:val="BodyText"/>
    <w:next w:val="Normal"/>
    <w:qFormat/>
    <w:rsid w:val="00F87D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D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D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DB7"/>
  </w:style>
  <w:style w:type="paragraph" w:styleId="TableofFigures">
    <w:name w:val="table of figures"/>
    <w:basedOn w:val="Normal"/>
    <w:next w:val="Normal"/>
    <w:semiHidden/>
    <w:rsid w:val="00F87D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D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7DB7"/>
    <w:rPr>
      <w:rFonts w:ascii="Wingdings" w:hAnsi="Wingdings"/>
    </w:rPr>
  </w:style>
  <w:style w:type="paragraph" w:customStyle="1" w:styleId="TableHeading">
    <w:name w:val="Table Heading"/>
    <w:basedOn w:val="HeadingBase"/>
    <w:rsid w:val="00F87D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DB7"/>
    <w:rPr>
      <w:color w:val="0033CC"/>
      <w:u w:val="none"/>
    </w:rPr>
  </w:style>
  <w:style w:type="paragraph" w:customStyle="1" w:styleId="BodyTextRight">
    <w:name w:val="Body Text Right"/>
    <w:basedOn w:val="BodyText"/>
    <w:rsid w:val="00F87D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D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D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D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D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D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DB7"/>
    <w:rPr>
      <w:sz w:val="32"/>
    </w:rPr>
  </w:style>
  <w:style w:type="paragraph" w:customStyle="1" w:styleId="HeadingProcedure">
    <w:name w:val="Heading Procedure"/>
    <w:basedOn w:val="HeadingBase"/>
    <w:next w:val="Normal"/>
    <w:rsid w:val="00F87D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DB7"/>
    <w:pPr>
      <w:spacing w:before="60" w:after="60"/>
    </w:pPr>
  </w:style>
  <w:style w:type="paragraph" w:styleId="ListContinue">
    <w:name w:val="List Continue"/>
    <w:basedOn w:val="List"/>
    <w:rsid w:val="00F87DB7"/>
    <w:pPr>
      <w:ind w:firstLine="0"/>
    </w:pPr>
  </w:style>
  <w:style w:type="paragraph" w:customStyle="1" w:styleId="ListNote">
    <w:name w:val="List Note"/>
    <w:basedOn w:val="List"/>
    <w:rsid w:val="00F87D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D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D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DB7"/>
    <w:rPr>
      <w:rFonts w:ascii="Courier New" w:hAnsi="Courier New"/>
    </w:rPr>
  </w:style>
  <w:style w:type="paragraph" w:customStyle="1" w:styleId="NoteBullet">
    <w:name w:val="Note Bullet"/>
    <w:basedOn w:val="Note"/>
    <w:rsid w:val="00F87D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D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D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D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D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7D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D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DB7"/>
    <w:rPr>
      <w:b/>
      <w:smallCaps/>
    </w:rPr>
  </w:style>
  <w:style w:type="paragraph" w:customStyle="1" w:styleId="TableListNumber">
    <w:name w:val="Table List Number"/>
    <w:basedOn w:val="ListNumber"/>
    <w:rsid w:val="00F87D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D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DB7"/>
    <w:pPr>
      <w:numPr>
        <w:numId w:val="10"/>
      </w:numPr>
    </w:pPr>
  </w:style>
  <w:style w:type="paragraph" w:customStyle="1" w:styleId="ListAlpha2">
    <w:name w:val="List Alpha 2"/>
    <w:basedOn w:val="List2"/>
    <w:rsid w:val="00F87DB7"/>
    <w:pPr>
      <w:numPr>
        <w:numId w:val="9"/>
      </w:numPr>
    </w:pPr>
  </w:style>
  <w:style w:type="paragraph" w:styleId="List2">
    <w:name w:val="List 2"/>
    <w:basedOn w:val="BodyText"/>
    <w:rsid w:val="00F87D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D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D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D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7D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7DB7"/>
    <w:pPr>
      <w:numPr>
        <w:numId w:val="5"/>
      </w:numPr>
    </w:pPr>
  </w:style>
  <w:style w:type="paragraph" w:styleId="ListContinue2">
    <w:name w:val="List Continue 2"/>
    <w:basedOn w:val="List2"/>
    <w:rsid w:val="00F87DB7"/>
    <w:pPr>
      <w:ind w:firstLine="0"/>
    </w:pPr>
  </w:style>
  <w:style w:type="paragraph" w:styleId="ListContinue3">
    <w:name w:val="List Continue 3"/>
    <w:basedOn w:val="List3"/>
    <w:rsid w:val="00F87DB7"/>
    <w:pPr>
      <w:ind w:left="1021" w:firstLine="0"/>
    </w:pPr>
  </w:style>
  <w:style w:type="paragraph" w:styleId="ListContinue4">
    <w:name w:val="List Continue 4"/>
    <w:basedOn w:val="List4"/>
    <w:rsid w:val="00F87DB7"/>
    <w:pPr>
      <w:ind w:firstLine="0"/>
    </w:pPr>
  </w:style>
  <w:style w:type="paragraph" w:styleId="ListContinue5">
    <w:name w:val="List Continue 5"/>
    <w:basedOn w:val="List5"/>
    <w:rsid w:val="00F87DB7"/>
    <w:pPr>
      <w:ind w:firstLine="0"/>
    </w:pPr>
  </w:style>
  <w:style w:type="paragraph" w:styleId="ListNumber3">
    <w:name w:val="List Number 3"/>
    <w:basedOn w:val="List3"/>
    <w:rsid w:val="00F87DB7"/>
    <w:pPr>
      <w:numPr>
        <w:numId w:val="6"/>
      </w:numPr>
    </w:pPr>
  </w:style>
  <w:style w:type="paragraph" w:styleId="ListNumber4">
    <w:name w:val="List Number 4"/>
    <w:basedOn w:val="List4"/>
    <w:rsid w:val="00F87DB7"/>
    <w:pPr>
      <w:numPr>
        <w:numId w:val="7"/>
      </w:numPr>
    </w:pPr>
  </w:style>
  <w:style w:type="paragraph" w:styleId="ListNumber5">
    <w:name w:val="List Number 5"/>
    <w:basedOn w:val="List5"/>
    <w:rsid w:val="00F87DB7"/>
    <w:pPr>
      <w:numPr>
        <w:numId w:val="8"/>
      </w:numPr>
    </w:pPr>
  </w:style>
  <w:style w:type="paragraph" w:styleId="BlockText">
    <w:name w:val="Block Text"/>
    <w:basedOn w:val="Normal"/>
    <w:rsid w:val="00F87D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D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DB7"/>
    <w:rPr>
      <w:sz w:val="16"/>
      <w:vertAlign w:val="superscript"/>
    </w:rPr>
  </w:style>
  <w:style w:type="character" w:customStyle="1" w:styleId="Symbols">
    <w:name w:val="Symbols"/>
    <w:basedOn w:val="DefaultParagraphFont"/>
    <w:rsid w:val="00F87DB7"/>
    <w:rPr>
      <w:rFonts w:ascii="Symbol" w:hAnsi="Symbol"/>
    </w:rPr>
  </w:style>
  <w:style w:type="character" w:customStyle="1" w:styleId="MenuOptions">
    <w:name w:val="Menu Options"/>
    <w:basedOn w:val="DefaultParagraphFont"/>
    <w:rsid w:val="00F87D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DB7"/>
    <w:rPr>
      <w:b/>
    </w:rPr>
  </w:style>
  <w:style w:type="character" w:customStyle="1" w:styleId="Underlined">
    <w:name w:val="Underlined"/>
    <w:basedOn w:val="DefaultParagraphFont"/>
    <w:rsid w:val="00F87DB7"/>
    <w:rPr>
      <w:u w:val="single"/>
    </w:rPr>
  </w:style>
  <w:style w:type="paragraph" w:customStyle="1" w:styleId="TableBodyTextRight">
    <w:name w:val="Table Body Text Right"/>
    <w:basedOn w:val="TableBodyText"/>
    <w:rsid w:val="00F87D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DB7"/>
    <w:rPr>
      <w:sz w:val="18"/>
    </w:rPr>
  </w:style>
  <w:style w:type="paragraph" w:customStyle="1" w:styleId="BodySmallRight">
    <w:name w:val="Body Small Right"/>
    <w:basedOn w:val="BodyTextRight"/>
    <w:rsid w:val="00F87DB7"/>
    <w:rPr>
      <w:sz w:val="18"/>
      <w:szCs w:val="18"/>
    </w:rPr>
  </w:style>
  <w:style w:type="paragraph" w:customStyle="1" w:styleId="MarginEdition">
    <w:name w:val="Margin Edition"/>
    <w:basedOn w:val="MarginNote"/>
    <w:rsid w:val="00F87D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DB7"/>
    <w:rPr>
      <w:sz w:val="2"/>
      <w:szCs w:val="2"/>
    </w:rPr>
  </w:style>
  <w:style w:type="character" w:customStyle="1" w:styleId="Small">
    <w:name w:val="Small"/>
    <w:basedOn w:val="DefaultParagraphFont"/>
    <w:rsid w:val="00F87DB7"/>
    <w:rPr>
      <w:sz w:val="16"/>
    </w:rPr>
  </w:style>
  <w:style w:type="paragraph" w:customStyle="1" w:styleId="WideTable">
    <w:name w:val="Wide Table"/>
    <w:basedOn w:val="Normal"/>
    <w:rsid w:val="00F87D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DB7"/>
  </w:style>
  <w:style w:type="paragraph" w:styleId="Quote">
    <w:name w:val="Quote"/>
    <w:basedOn w:val="Heading1"/>
    <w:link w:val="QuoteChar"/>
    <w:qFormat/>
    <w:rsid w:val="00F87D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D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DB7"/>
    <w:pPr>
      <w:pageBreakBefore/>
    </w:pPr>
  </w:style>
  <w:style w:type="paragraph" w:customStyle="1" w:styleId="Border">
    <w:name w:val="Border"/>
    <w:basedOn w:val="Normal"/>
    <w:qFormat/>
    <w:rsid w:val="00F87D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D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D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D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D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D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D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D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D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DB7"/>
    <w:rPr>
      <w:u w:val="single"/>
    </w:rPr>
  </w:style>
  <w:style w:type="character" w:customStyle="1" w:styleId="BoldandItalics">
    <w:name w:val="Bold and Italics"/>
    <w:qFormat/>
    <w:rsid w:val="00F87DB7"/>
    <w:rPr>
      <w:b/>
      <w:i/>
      <w:u w:val="none"/>
    </w:rPr>
  </w:style>
  <w:style w:type="paragraph" w:styleId="BalloonText">
    <w:name w:val="Balloon Text"/>
    <w:basedOn w:val="Normal"/>
    <w:link w:val="BalloonTextChar"/>
    <w:rsid w:val="00F87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D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D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D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D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D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DB7"/>
    <w:pPr>
      <w:spacing w:before="0" w:after="0"/>
    </w:pPr>
  </w:style>
  <w:style w:type="paragraph" w:customStyle="1" w:styleId="BodyTextBold">
    <w:name w:val="Body Text Bold"/>
    <w:basedOn w:val="BodyText"/>
    <w:qFormat/>
    <w:rsid w:val="00F87DB7"/>
    <w:rPr>
      <w:b/>
    </w:rPr>
  </w:style>
  <w:style w:type="character" w:styleId="Hyperlink">
    <w:name w:val="Hyperlink"/>
    <w:basedOn w:val="DefaultParagraphFont"/>
    <w:uiPriority w:val="99"/>
    <w:unhideWhenUsed/>
    <w:rsid w:val="008C5B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3997</Characters>
  <Application>Microsoft Office Word</Application>
  <DocSecurity>0</DocSecurity>
  <Lines>102</Lines>
  <Paragraphs>78</Paragraphs>
  <ScaleCrop>false</ScaleCrop>
  <Company>Author-it Software Corporation Ltd.</Company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UEERA0097 Install, commission, service and maintain variable refrigerant flow air conditioning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2024-11-29T00:32:00Z</dcterms:created>
  <dcterms:modified xsi:type="dcterms:W3CDTF">2024-11-29T00:32:00Z</dcterms:modified>
</cp:coreProperties>
</file>