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E03" w:rsidP="00387E03">
      <w:pPr>
        <w:pStyle w:val="Title"/>
      </w:pPr>
      <w:r>
        <w:fldChar w:fldCharType="begin"/>
      </w:r>
      <w:r>
        <w:instrText xml:space="preserve"> TITLE   \* MERGEFORMAT </w:instrText>
      </w:r>
      <w:r>
        <w:fldChar w:fldCharType="separate"/>
      </w:r>
      <w:r>
        <w:t>Assessment Requirements for UEERA0095 Recover refrigerant from stationary self-contained end of life decommissioned equipment</w:t>
      </w:r>
      <w:r>
        <w:fldChar w:fldCharType="end"/>
      </w:r>
    </w:p>
    <w:p w:rsidR="00387E03" w:rsidP="00387E03">
      <w:pPr>
        <w:pStyle w:val="Version"/>
        <w:sectPr w:rsidSect="00E52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C21" w:rsidP="00E52C21">
      <w:pPr>
        <w:pStyle w:val="SuperHeading"/>
      </w:pPr>
      <w:r w:rsidRPr="00E52C21">
        <w:t>Assessment Requirements for UEERA0095 Recover refrigerant from stationary self-contained end of life decommissioned equipment</w:t>
      </w:r>
    </w:p>
    <w:p w:rsidR="00000000" w:rsidRPr="00E52C21" w:rsidP="00E52C21">
      <w:pPr>
        <w:pStyle w:val="Heading1"/>
      </w:pPr>
      <w:bookmarkStart w:id="1" w:name="O_1076801"/>
      <w:bookmarkEnd w:id="1"/>
      <w:r w:rsidRPr="00E52C21">
        <w:t>Modification History</w:t>
      </w:r>
    </w:p>
    <w:tbl>
      <w:tblPr>
        <w:tblW w:w="9497" w:type="dxa"/>
        <w:tblLayout w:type="fixed"/>
        <w:tblCellMar>
          <w:left w:w="62" w:type="dxa"/>
          <w:right w:w="62" w:type="dxa"/>
        </w:tblCellMar>
        <w:tblLook w:val="0000"/>
      </w:tblPr>
      <w:tblGrid>
        <w:gridCol w:w="9497"/>
      </w:tblGrid>
      <w:tr w:rsidTr="00E52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C21" w:rsidP="00E52C21">
            <w:pPr>
              <w:pStyle w:val="BodyText"/>
            </w:pPr>
            <w:r w:rsidRPr="00E52C21">
              <w:t>Release 1. This is the first release of this unit of competency in the UEE Electrotechnology Training Package.</w:t>
            </w:r>
          </w:p>
        </w:tc>
      </w:tr>
    </w:tbl>
    <w:p w:rsidR="00000000" w:rsidRPr="00E52C21" w:rsidP="00E52C21">
      <w:pPr>
        <w:pStyle w:val="NoPaddingFontSize1"/>
      </w:pPr>
    </w:p>
    <w:p w:rsidR="00000000" w:rsidRPr="00E52C21" w:rsidP="00E52C21">
      <w:pPr>
        <w:pStyle w:val="AllowPageBreak"/>
      </w:pPr>
    </w:p>
    <w:p w:rsidR="00000000" w:rsidRPr="00E52C21" w:rsidP="00E52C21">
      <w:pPr>
        <w:pStyle w:val="Heading1"/>
      </w:pPr>
      <w:bookmarkStart w:id="2" w:name="O_1076802"/>
      <w:bookmarkEnd w:id="2"/>
      <w:r w:rsidRPr="00E52C21">
        <w:t>Performance Evidence</w:t>
      </w:r>
    </w:p>
    <w:tbl>
      <w:tblPr>
        <w:tblW w:w="9497" w:type="dxa"/>
        <w:tblLayout w:type="fixed"/>
        <w:tblCellMar>
          <w:left w:w="62" w:type="dxa"/>
          <w:right w:w="62" w:type="dxa"/>
        </w:tblCellMar>
        <w:tblLook w:val="0000"/>
      </w:tblPr>
      <w:tblGrid>
        <w:gridCol w:w="9497"/>
      </w:tblGrid>
      <w:tr w:rsidTr="00E52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2C21">
            <w:pPr>
              <w:pStyle w:val="BodyText"/>
              <w:rPr>
                <w:lang w:val="en-NZ"/>
              </w:rPr>
            </w:pPr>
            <w:r w:rsidRPr="00E52C21">
              <w:t>Evidence required to demonstrate competence in this unit must be relevant to and satisfy all of the req</w:t>
            </w:r>
            <w:r w:rsidRPr="00E52C21">
              <w:t>uirements of the elements, performance criteria and range of conditions on at least two separate occasions and include:</w:t>
            </w:r>
          </w:p>
        </w:tc>
      </w:tr>
      <w:tr w:rsidTr="00E52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C21" w:rsidP="00E52C21">
            <w:pPr>
              <w:pStyle w:val="ListBullet"/>
            </w:pPr>
            <w:r w:rsidRPr="00E52C21">
              <w:t>applying environment protection and sustainable energy and resources principles and practices</w:t>
            </w:r>
          </w:p>
          <w:p w:rsidR="00000000" w:rsidRPr="00E52C21" w:rsidP="00E52C21">
            <w:pPr>
              <w:pStyle w:val="ListBullet"/>
            </w:pPr>
            <w:r w:rsidRPr="00E52C21">
              <w:t>applying relevant work health and safety</w:t>
            </w:r>
            <w:r w:rsidRPr="00E52C21">
              <w:t xml:space="preserve"> (WHS)/occupational health and safety (OHS) requirements and workplace procedures and practices, including: </w:t>
            </w:r>
          </w:p>
          <w:p w:rsidR="00000000" w:rsidRPr="00E52C21" w:rsidP="00E52C21">
            <w:pPr>
              <w:pStyle w:val="ListBullet2"/>
            </w:pPr>
            <w:r w:rsidRPr="00E52C21">
              <w:t xml:space="preserve">correct use of personal protective equipment (PPE) </w:t>
            </w:r>
          </w:p>
          <w:p w:rsidR="00000000" w:rsidRPr="00E52C21" w:rsidP="00E52C21">
            <w:pPr>
              <w:pStyle w:val="ListBullet2"/>
            </w:pPr>
            <w:r w:rsidRPr="00E52C21">
              <w:t>applying risk control measures</w:t>
            </w:r>
          </w:p>
          <w:p w:rsidR="00000000" w:rsidRPr="00E52C21" w:rsidP="00E52C21">
            <w:pPr>
              <w:pStyle w:val="ListBullet"/>
            </w:pPr>
            <w:r w:rsidRPr="00E52C21">
              <w:t>cleaning,checking and mak</w:t>
            </w:r>
            <w:r w:rsidRPr="00E52C21">
              <w:t>ing safe the worksite, tools and equipment</w:t>
            </w:r>
          </w:p>
          <w:p w:rsidR="00000000" w:rsidRPr="00E52C21" w:rsidP="00E52C21">
            <w:pPr>
              <w:pStyle w:val="ListBullet"/>
            </w:pPr>
            <w:r w:rsidRPr="00E52C21">
              <w:t>completing relevant documentation and reporting to relevant person/s</w:t>
            </w:r>
          </w:p>
          <w:p w:rsidR="00000000" w:rsidRPr="00E52C21" w:rsidP="00E52C21">
            <w:pPr>
              <w:pStyle w:val="ListBullet"/>
            </w:pPr>
            <w:r w:rsidRPr="00E52C21">
              <w:t>complying with relevant legislative, regulatory/licensing, standards and code requirements, manufacturer recommendations/instructions and indust</w:t>
            </w:r>
            <w:r w:rsidRPr="00E52C21">
              <w:t>ry practices</w:t>
            </w:r>
          </w:p>
          <w:p w:rsidR="00000000" w:rsidRPr="00E52C21" w:rsidP="00E52C21">
            <w:pPr>
              <w:pStyle w:val="ListBullet"/>
            </w:pPr>
            <w:r w:rsidRPr="00E52C21">
              <w:t>fitting access valves to the system and connecting service gauges</w:t>
            </w:r>
          </w:p>
          <w:p w:rsidR="00000000" w:rsidRPr="00E52C21" w:rsidP="00E52C21">
            <w:pPr>
              <w:pStyle w:val="ListBullet"/>
            </w:pPr>
            <w:r w:rsidRPr="00E52C21">
              <w:t>identifying the refrigeration/air conditioning unit’s refrigerant access points and the refrigerant type from the equipment nameplate or manufacturer specifications</w:t>
            </w:r>
          </w:p>
          <w:p w:rsidR="00000000" w:rsidRPr="00E52C21" w:rsidP="00E52C21">
            <w:pPr>
              <w:pStyle w:val="ListBullet"/>
            </w:pPr>
            <w:r w:rsidRPr="00E52C21">
              <w:t>identifying,</w:t>
            </w:r>
            <w:r w:rsidRPr="00E52C21">
              <w:t xml:space="preserve"> obtaining and checking relevant equipment, tools and materials required to work with non-flammable and flammable refrigerants, including:</w:t>
            </w:r>
          </w:p>
          <w:p w:rsidR="00000000" w:rsidRPr="00E52C21" w:rsidP="00E52C21">
            <w:pPr>
              <w:pStyle w:val="ListBullet2"/>
            </w:pPr>
            <w:r w:rsidRPr="00E52C21">
              <w:t>recovering unit and recovery cylinder</w:t>
            </w:r>
          </w:p>
          <w:p w:rsidR="00000000" w:rsidRPr="00E52C21" w:rsidP="00E52C21">
            <w:pPr>
              <w:pStyle w:val="ListBullet2"/>
            </w:pPr>
            <w:r w:rsidRPr="00E52C21">
              <w:t>servicing gauges</w:t>
            </w:r>
          </w:p>
          <w:p w:rsidR="00000000" w:rsidRPr="00E52C21" w:rsidP="00E52C21">
            <w:pPr>
              <w:pStyle w:val="ListBullet2"/>
            </w:pPr>
            <w:r w:rsidRPr="00E52C21">
              <w:t>using refrigeration hand tools</w:t>
            </w:r>
          </w:p>
          <w:p w:rsidR="00000000" w:rsidRPr="00E52C21" w:rsidP="00E52C21">
            <w:pPr>
              <w:pStyle w:val="ListBullet"/>
            </w:pPr>
            <w:r w:rsidRPr="00E52C21">
              <w:t>measuring and recording the q</w:t>
            </w:r>
            <w:r w:rsidRPr="00E52C21">
              <w:t xml:space="preserve">uantity of the refrigerant recovered </w:t>
            </w:r>
          </w:p>
          <w:p w:rsidR="00000000" w:rsidRPr="00E52C21" w:rsidP="00E52C21">
            <w:pPr>
              <w:pStyle w:val="ListBullet"/>
            </w:pPr>
            <w:r w:rsidRPr="00E52C21">
              <w:t>measuring and recording the recovery cylinder’s weight to ensure it can accept the refrigerant to be recovered</w:t>
            </w:r>
          </w:p>
          <w:p w:rsidR="00000000" w:rsidRPr="00E52C21" w:rsidP="00E52C21">
            <w:pPr>
              <w:pStyle w:val="ListBullet"/>
            </w:pPr>
            <w:r w:rsidRPr="00E52C21">
              <w:t>recovering flammable and non-flammable refrigerant from refrigeration or air conditioning systems using app</w:t>
            </w:r>
            <w:r w:rsidRPr="00E52C21">
              <w:t>ropriate equipment and tools</w:t>
            </w:r>
          </w:p>
          <w:p w:rsidR="00000000" w:rsidRPr="00E52C21" w:rsidP="00E52C21">
            <w:pPr>
              <w:pStyle w:val="ListBullet"/>
            </w:pPr>
            <w:r w:rsidRPr="00E52C21">
              <w:t>storing tools, equipment and recovery cylinder securely.</w:t>
            </w:r>
          </w:p>
        </w:tc>
      </w:tr>
    </w:tbl>
    <w:p w:rsidR="00000000" w:rsidRPr="00E52C21" w:rsidP="00E52C21">
      <w:pPr>
        <w:pStyle w:val="NoPaddingFontSize1"/>
      </w:pPr>
    </w:p>
    <w:p w:rsidR="00000000" w:rsidRPr="00E52C21" w:rsidP="00E52C21">
      <w:pPr>
        <w:pStyle w:val="AllowPageBreak"/>
      </w:pPr>
    </w:p>
    <w:p w:rsidR="00000000" w:rsidRPr="00E52C21" w:rsidP="00E52C21">
      <w:pPr>
        <w:pStyle w:val="Heading1"/>
      </w:pPr>
      <w:bookmarkStart w:id="3" w:name="O_1076803"/>
      <w:bookmarkEnd w:id="3"/>
      <w:r w:rsidRPr="00E52C21">
        <w:t>Knowledge Evidence</w:t>
      </w:r>
    </w:p>
    <w:tbl>
      <w:tblPr>
        <w:tblW w:w="9497" w:type="dxa"/>
        <w:tblLayout w:type="fixed"/>
        <w:tblCellMar>
          <w:left w:w="62" w:type="dxa"/>
          <w:right w:w="62" w:type="dxa"/>
        </w:tblCellMar>
        <w:tblLook w:val="0000"/>
      </w:tblPr>
      <w:tblGrid>
        <w:gridCol w:w="9497"/>
      </w:tblGrid>
      <w:tr w:rsidTr="00E52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2C21">
            <w:pPr>
              <w:pStyle w:val="BodyText"/>
              <w:rPr>
                <w:lang w:val="en-NZ"/>
              </w:rPr>
            </w:pPr>
            <w:r w:rsidRPr="00E52C21">
              <w:t>Evidence required to demonstrate competence in this unit must be relevant to and satisfy all of the requirements of the elements, performance criteria and range of conditions and include knowledge of:</w:t>
            </w:r>
          </w:p>
        </w:tc>
      </w:tr>
      <w:tr w:rsidTr="00E52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C21" w:rsidP="00E52C21">
            <w:pPr>
              <w:pStyle w:val="ListBullet"/>
            </w:pPr>
            <w:r w:rsidRPr="00E52C21">
              <w:t>leak detectors and ’bubbles‘ leak detection procedure</w:t>
            </w:r>
          </w:p>
          <w:p w:rsidR="00000000" w:rsidRPr="00E52C21" w:rsidP="00E52C21">
            <w:pPr>
              <w:pStyle w:val="ListBullet"/>
            </w:pPr>
            <w:r w:rsidRPr="00E52C21">
              <w:t>recovery cylinders, including:</w:t>
            </w:r>
          </w:p>
          <w:p w:rsidR="00000000" w:rsidRPr="00E52C21" w:rsidP="00E52C21">
            <w:pPr>
              <w:pStyle w:val="ListBullet2"/>
            </w:pPr>
            <w:r w:rsidRPr="00E52C21">
              <w:t>care and maintenance</w:t>
            </w:r>
          </w:p>
          <w:p w:rsidR="00000000" w:rsidRPr="00E52C21" w:rsidP="00E52C21">
            <w:pPr>
              <w:pStyle w:val="ListBullet2"/>
            </w:pPr>
            <w:r w:rsidRPr="00E52C21">
              <w:t>identifying service access valves</w:t>
            </w:r>
          </w:p>
          <w:p w:rsidR="00000000" w:rsidRPr="00E52C21" w:rsidP="00E52C21">
            <w:pPr>
              <w:pStyle w:val="ListBullet2"/>
            </w:pPr>
            <w:r w:rsidRPr="00E52C21">
              <w:t>leak testing with ’bubbles’</w:t>
            </w:r>
          </w:p>
          <w:p w:rsidR="00000000" w:rsidRPr="00E52C21" w:rsidP="00E52C21">
            <w:pPr>
              <w:pStyle w:val="ListBullet2"/>
            </w:pPr>
            <w:r w:rsidRPr="00E52C21">
              <w:t>ratings for various applications, including non-flammable and flammable refrigerants</w:t>
            </w:r>
          </w:p>
          <w:p w:rsidR="00000000" w:rsidRPr="00E52C21" w:rsidP="00E52C21">
            <w:pPr>
              <w:pStyle w:val="ListBullet2"/>
            </w:pPr>
            <w:r w:rsidRPr="00E52C21">
              <w:t>relevant documentation and records</w:t>
            </w:r>
          </w:p>
          <w:p w:rsidR="00000000" w:rsidRPr="00E52C21" w:rsidP="00E52C21">
            <w:pPr>
              <w:pStyle w:val="ListBullet2"/>
            </w:pPr>
            <w:r w:rsidRPr="00E52C21">
              <w:t>safe handling, storage and transportation</w:t>
            </w:r>
          </w:p>
          <w:p w:rsidR="00000000" w:rsidRPr="00E52C21" w:rsidP="00E52C21">
            <w:pPr>
              <w:pStyle w:val="ListBullet2"/>
            </w:pPr>
            <w:r w:rsidRPr="00E52C21">
              <w:t>tare and refrigerant weight</w:t>
            </w:r>
          </w:p>
          <w:p w:rsidR="00000000" w:rsidRPr="00E52C21" w:rsidP="00E52C21">
            <w:pPr>
              <w:pStyle w:val="ListBullet2"/>
            </w:pPr>
            <w:r w:rsidRPr="00E52C21">
              <w:t>types, markings and labelling</w:t>
            </w:r>
          </w:p>
          <w:p w:rsidR="00000000" w:rsidRPr="00E52C21" w:rsidP="00E52C21">
            <w:pPr>
              <w:pStyle w:val="ListBullet"/>
            </w:pPr>
            <w:r w:rsidRPr="00E52C21">
              <w:t>refrigerants, including:</w:t>
            </w:r>
          </w:p>
          <w:p w:rsidR="00000000" w:rsidRPr="00E52C21" w:rsidP="00E52C21">
            <w:pPr>
              <w:pStyle w:val="ListBullet2"/>
            </w:pPr>
            <w:r w:rsidRPr="00E52C21">
              <w:t>current refrigerants used, including R12, R134a, R22, R407C, R410a, hydrocarbons and flammable synthetics (R32)</w:t>
            </w:r>
          </w:p>
          <w:p w:rsidR="00000000" w:rsidRPr="00E52C21" w:rsidP="00E52C21">
            <w:pPr>
              <w:pStyle w:val="ListBullet2"/>
            </w:pPr>
            <w:r w:rsidRPr="00E52C21">
              <w:t>environmental iss</w:t>
            </w:r>
            <w:r w:rsidRPr="00E52C21">
              <w:t>ues</w:t>
            </w:r>
          </w:p>
          <w:p w:rsidR="00000000" w:rsidRPr="00E52C21" w:rsidP="00E52C21">
            <w:pPr>
              <w:pStyle w:val="ListBullet2"/>
            </w:pPr>
            <w:r w:rsidRPr="00E52C21">
              <w:t>identifying the refrigerants from system’s nameplate and manufacturer specifications</w:t>
            </w:r>
          </w:p>
          <w:p w:rsidR="00000000" w:rsidRPr="00E52C21" w:rsidP="00E52C21">
            <w:pPr>
              <w:pStyle w:val="ListBullet2"/>
            </w:pPr>
            <w:r w:rsidRPr="00E52C21">
              <w:t>indicators that the unit may contain flammable refrigerant</w:t>
            </w:r>
          </w:p>
          <w:p w:rsidR="00000000" w:rsidRPr="00E52C21" w:rsidP="00E52C21">
            <w:pPr>
              <w:pStyle w:val="ListBullet"/>
            </w:pPr>
            <w:r w:rsidRPr="00E52C21">
              <w:t>refrigerant oils, including:</w:t>
            </w:r>
          </w:p>
          <w:p w:rsidR="00000000" w:rsidRPr="00E52C21" w:rsidP="00E52C21">
            <w:pPr>
              <w:pStyle w:val="ListBullet2"/>
            </w:pPr>
            <w:r w:rsidRPr="00E52C21">
              <w:t>absorption of refrigerant</w:t>
            </w:r>
          </w:p>
          <w:p w:rsidR="00000000" w:rsidRPr="00E52C21" w:rsidP="00E52C21">
            <w:pPr>
              <w:pStyle w:val="ListBullet2"/>
            </w:pPr>
            <w:r w:rsidRPr="00E52C21">
              <w:t>types</w:t>
            </w:r>
          </w:p>
          <w:p w:rsidR="00000000" w:rsidRPr="00E52C21" w:rsidP="00E52C21">
            <w:pPr>
              <w:pStyle w:val="ListBullet"/>
            </w:pPr>
            <w:r w:rsidRPr="00E52C21">
              <w:t>recovery units, including:</w:t>
            </w:r>
          </w:p>
          <w:p w:rsidR="00000000" w:rsidRPr="00E52C21" w:rsidP="00E52C21">
            <w:pPr>
              <w:pStyle w:val="ListBullet2"/>
            </w:pPr>
            <w:r w:rsidRPr="00E52C21">
              <w:t>basic operation of unit</w:t>
            </w:r>
          </w:p>
          <w:p w:rsidR="00000000" w:rsidRPr="00E52C21" w:rsidP="00E52C21">
            <w:pPr>
              <w:pStyle w:val="ListBullet2"/>
            </w:pPr>
            <w:r w:rsidRPr="00E52C21">
              <w:t>care and maintenance</w:t>
            </w:r>
          </w:p>
          <w:p w:rsidR="00000000" w:rsidRPr="00E52C21" w:rsidP="00E52C21">
            <w:pPr>
              <w:pStyle w:val="ListBullet2"/>
            </w:pPr>
            <w:r w:rsidRPr="00E52C21">
              <w:t>identifying service access valves</w:t>
            </w:r>
          </w:p>
          <w:p w:rsidR="00000000" w:rsidRPr="00E52C21" w:rsidP="00E52C21">
            <w:pPr>
              <w:pStyle w:val="ListBullet2"/>
            </w:pPr>
            <w:r w:rsidRPr="00E52C21">
              <w:t>non-flammable and flammable refrigerant recovery procedures</w:t>
            </w:r>
          </w:p>
          <w:p w:rsidR="00000000" w:rsidRPr="00E52C21" w:rsidP="00E52C21">
            <w:pPr>
              <w:pStyle w:val="ListBullet2"/>
            </w:pPr>
            <w:r w:rsidRPr="00E52C21">
              <w:t>non-flammable and flammable refrigerant types</w:t>
            </w:r>
          </w:p>
          <w:p w:rsidR="00000000" w:rsidRPr="00E52C21" w:rsidP="00E52C21">
            <w:pPr>
              <w:pStyle w:val="ListBullet2"/>
            </w:pPr>
            <w:r w:rsidRPr="00E52C21">
              <w:t>safety precautions</w:t>
            </w:r>
          </w:p>
          <w:p w:rsidR="00000000" w:rsidRPr="00E52C21" w:rsidP="00E52C21">
            <w:pPr>
              <w:pStyle w:val="ListBullet"/>
            </w:pPr>
            <w:r w:rsidRPr="00E52C21">
              <w:t>service gauges, including:</w:t>
            </w:r>
          </w:p>
          <w:p w:rsidR="00000000" w:rsidRPr="00E52C21" w:rsidP="00E52C21">
            <w:pPr>
              <w:pStyle w:val="ListBullet2"/>
            </w:pPr>
            <w:r w:rsidRPr="00E52C21">
              <w:t>manifold gauges:</w:t>
            </w:r>
          </w:p>
          <w:p w:rsidR="00000000" w:rsidRPr="00E52C21" w:rsidP="00E52C21">
            <w:pPr>
              <w:pStyle w:val="ListBullet3"/>
            </w:pPr>
            <w:r w:rsidRPr="00E52C21">
              <w:t>basic</w:t>
            </w:r>
            <w:r w:rsidRPr="00E52C21">
              <w:t xml:space="preserve"> types and use for recovering refrigerant</w:t>
            </w:r>
          </w:p>
          <w:p w:rsidR="00000000" w:rsidRPr="00E52C21" w:rsidP="00E52C21">
            <w:pPr>
              <w:pStyle w:val="ListBullet3"/>
            </w:pPr>
            <w:r w:rsidRPr="00E52C21">
              <w:t>care and maintenance</w:t>
            </w:r>
          </w:p>
          <w:p w:rsidR="00000000" w:rsidRPr="00E52C21" w:rsidP="00E52C21">
            <w:pPr>
              <w:pStyle w:val="ListBullet3"/>
            </w:pPr>
            <w:r w:rsidRPr="00E52C21">
              <w:t>hose shut-off valves and adaptors</w:t>
            </w:r>
          </w:p>
          <w:p w:rsidR="00000000" w:rsidRPr="00E52C21" w:rsidP="00E52C21">
            <w:pPr>
              <w:pStyle w:val="ListBullet2"/>
            </w:pPr>
            <w:r w:rsidRPr="00E52C21">
              <w:t>system access fittings:</w:t>
            </w:r>
          </w:p>
          <w:p w:rsidR="00000000" w:rsidRPr="00E52C21" w:rsidP="00E52C21">
            <w:pPr>
              <w:pStyle w:val="ListBullet3"/>
            </w:pPr>
            <w:r w:rsidRPr="00E52C21">
              <w:t>fitting bullet valves and piercing pliers</w:t>
            </w:r>
          </w:p>
          <w:p w:rsidR="00000000" w:rsidRPr="00E52C21" w:rsidP="00E52C21">
            <w:pPr>
              <w:pStyle w:val="ListBullet3"/>
            </w:pPr>
            <w:r w:rsidRPr="00E52C21">
              <w:t>hazards and related safe working practices</w:t>
            </w:r>
          </w:p>
          <w:p w:rsidR="00000000" w:rsidRPr="00E52C21" w:rsidP="00E52C21">
            <w:pPr>
              <w:pStyle w:val="ListBullet3"/>
            </w:pPr>
            <w:r w:rsidRPr="00E52C21">
              <w:t>types</w:t>
            </w:r>
          </w:p>
          <w:p w:rsidR="00000000" w:rsidRPr="00E52C21" w:rsidP="00E52C21">
            <w:pPr>
              <w:pStyle w:val="ListBullet3"/>
            </w:pPr>
            <w:r w:rsidRPr="00E52C21">
              <w:t>typical locations, connection and operation</w:t>
            </w:r>
          </w:p>
          <w:p w:rsidR="00000000" w:rsidRPr="00E52C21" w:rsidP="00E52C21">
            <w:pPr>
              <w:pStyle w:val="ListBullet2"/>
            </w:pPr>
            <w:r w:rsidRPr="00E52C21">
              <w:t>using service gauges:</w:t>
            </w:r>
          </w:p>
          <w:p w:rsidR="00000000" w:rsidRPr="00E52C21" w:rsidP="00E52C21">
            <w:pPr>
              <w:pStyle w:val="ListBullet3"/>
            </w:pPr>
            <w:r w:rsidRPr="00E52C21">
              <w:t>pressure readings</w:t>
            </w:r>
          </w:p>
          <w:p w:rsidR="00000000" w:rsidRPr="00E52C21" w:rsidP="00E52C21">
            <w:pPr>
              <w:pStyle w:val="ListBullet3"/>
            </w:pPr>
            <w:r w:rsidRPr="00E52C21">
              <w:t>service gauge manifold hose fitting</w:t>
            </w:r>
          </w:p>
          <w:p w:rsidR="00000000" w:rsidRPr="00E52C21" w:rsidP="00E52C21">
            <w:pPr>
              <w:pStyle w:val="ListBullet3"/>
            </w:pPr>
            <w:r w:rsidRPr="00E52C21">
              <w:t>service gauge manifold hose removal</w:t>
            </w:r>
          </w:p>
          <w:p w:rsidR="00000000" w:rsidRPr="00E52C21" w:rsidP="00E52C21">
            <w:pPr>
              <w:pStyle w:val="ListBullet"/>
            </w:pPr>
            <w:r w:rsidRPr="00E52C21">
              <w:t>working safely with refrigerants and refrigerant oils, including:</w:t>
            </w:r>
          </w:p>
          <w:p w:rsidR="00000000" w:rsidRPr="00E52C21" w:rsidP="00E52C21">
            <w:pPr>
              <w:pStyle w:val="ListBullet2"/>
            </w:pPr>
            <w:r w:rsidRPr="00E52C21">
              <w:t>relevant PPE and</w:t>
            </w:r>
            <w:r w:rsidRPr="00E52C21">
              <w:t xml:space="preserve"> safety signage</w:t>
            </w:r>
          </w:p>
          <w:p w:rsidR="00000000" w:rsidRPr="00E52C21" w:rsidP="00E52C21">
            <w:pPr>
              <w:pStyle w:val="ListBullet2"/>
            </w:pPr>
            <w:r w:rsidRPr="00E52C21">
              <w:t>relevant workplace and WHS/OHS procedures, including risk assessment and control measures</w:t>
            </w:r>
          </w:p>
          <w:p w:rsidR="00000000" w:rsidRPr="00E52C21" w:rsidP="00E52C21">
            <w:pPr>
              <w:pStyle w:val="ListBullet2"/>
            </w:pPr>
            <w:r w:rsidRPr="00E52C21">
              <w:t>safe handling procedures</w:t>
            </w:r>
          </w:p>
          <w:p w:rsidR="00000000" w:rsidRPr="00E52C21" w:rsidP="00E52C21">
            <w:pPr>
              <w:pStyle w:val="ListBullet2"/>
            </w:pPr>
            <w:r w:rsidRPr="00E52C21">
              <w:t>flammable and non-flammable refrigerant handling reporting requirements</w:t>
            </w:r>
          </w:p>
          <w:p w:rsidR="00000000" w:rsidRPr="00E52C21" w:rsidP="00E52C21">
            <w:pPr>
              <w:pStyle w:val="ListBullet2"/>
            </w:pPr>
            <w:r w:rsidRPr="00E52C21">
              <w:t>relevant legislation, standards and codes</w:t>
            </w:r>
          </w:p>
          <w:p w:rsidR="00000000" w:rsidRPr="00E52C21" w:rsidP="00E52C21">
            <w:pPr>
              <w:pStyle w:val="ListBullet2"/>
            </w:pPr>
            <w:r w:rsidRPr="00E52C21">
              <w:t>safety data</w:t>
            </w:r>
            <w:r w:rsidRPr="00E52C21">
              <w:t xml:space="preserve"> sheets (SDS).</w:t>
            </w:r>
          </w:p>
        </w:tc>
      </w:tr>
    </w:tbl>
    <w:p w:rsidR="00000000" w:rsidRPr="00E52C21" w:rsidP="00E52C21">
      <w:pPr>
        <w:pStyle w:val="NoPaddingFontSize1"/>
      </w:pPr>
    </w:p>
    <w:p w:rsidR="00000000" w:rsidRPr="00E52C21" w:rsidP="00E52C21">
      <w:pPr>
        <w:pStyle w:val="AllowPageBreak"/>
      </w:pPr>
    </w:p>
    <w:p w:rsidR="00000000" w:rsidRPr="00E52C21" w:rsidP="00E52C21">
      <w:pPr>
        <w:pStyle w:val="Heading1"/>
      </w:pPr>
      <w:bookmarkStart w:id="4" w:name="O_1076804"/>
      <w:bookmarkEnd w:id="4"/>
      <w:r w:rsidRPr="00E52C21">
        <w:t>Assessment Conditions</w:t>
      </w:r>
    </w:p>
    <w:tbl>
      <w:tblPr>
        <w:tblW w:w="9497" w:type="dxa"/>
        <w:tblLayout w:type="fixed"/>
        <w:tblCellMar>
          <w:left w:w="62" w:type="dxa"/>
          <w:right w:w="62" w:type="dxa"/>
        </w:tblCellMar>
        <w:tblLook w:val="0000"/>
      </w:tblPr>
      <w:tblGrid>
        <w:gridCol w:w="9497"/>
      </w:tblGrid>
      <w:tr w:rsidTr="00E52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C21" w:rsidP="00E52C21">
            <w:pPr>
              <w:pStyle w:val="BodyText"/>
            </w:pPr>
            <w:r w:rsidRPr="00E52C21">
              <w:t xml:space="preserve">Assessors must hold credentials specified within the Standards for Registered Training Organisations current at the time of assessment. </w:t>
            </w:r>
          </w:p>
          <w:p w:rsidR="00000000" w:rsidRPr="00E52C21" w:rsidP="00E52C21">
            <w:pPr>
              <w:pStyle w:val="BodyText"/>
            </w:pPr>
            <w:r w:rsidRPr="00E52C21">
              <w:t>Assessment must satisfy the Principles of Assessment and Rules of Evidence and all regulatory requirements included within the Standards for Registered Training Organisations current at the time of assessment.</w:t>
            </w:r>
          </w:p>
          <w:p w:rsidR="00000000" w:rsidRPr="00E52C21" w:rsidP="00E52C21">
            <w:pPr>
              <w:pStyle w:val="BodyText"/>
            </w:pPr>
            <w:r w:rsidRPr="00E52C21">
              <w:t>Assessment must occur in workplace operational</w:t>
            </w:r>
            <w:r w:rsidRPr="00E52C21">
              <w:t xml:space="preserve"> situations where it is appropriate to do so; where this is not appropriate, assessment must occur in simulated workplace operational situations that replicate workplace conditions.</w:t>
            </w:r>
          </w:p>
          <w:p w:rsidR="00000000" w:rsidRPr="00E52C21" w:rsidP="00E52C21">
            <w:pPr>
              <w:pStyle w:val="BodyText"/>
            </w:pPr>
            <w:r w:rsidRPr="00E52C21">
              <w:t>Assessment processes and techniques must be appropriate to the language, l</w:t>
            </w:r>
            <w:r w:rsidRPr="00E52C21">
              <w:t>iteracy and numeracy requirements of the work being performed and the needs of the candidate.</w:t>
            </w:r>
          </w:p>
          <w:p w:rsidR="00000000" w:rsidRPr="00E52C21" w:rsidP="00E52C21">
            <w:pPr>
              <w:pStyle w:val="BodyText"/>
            </w:pPr>
            <w:r w:rsidRPr="00E52C21">
              <w:t>Resources for assessment must include access to:</w:t>
            </w:r>
          </w:p>
          <w:p w:rsidR="00000000" w:rsidRPr="00E52C21" w:rsidP="00E52C21">
            <w:pPr>
              <w:pStyle w:val="ListBullet"/>
            </w:pPr>
            <w:r w:rsidRPr="00E52C21">
              <w:t>a range of relevant exercises, case studies and/or other simulations</w:t>
            </w:r>
          </w:p>
          <w:p w:rsidR="00000000" w:rsidRPr="00E52C21" w:rsidP="00E52C21">
            <w:pPr>
              <w:pStyle w:val="ListBullet"/>
            </w:pPr>
            <w:r w:rsidRPr="00E52C21">
              <w:t xml:space="preserve">relevant and appropriate materials, tools, </w:t>
            </w:r>
            <w:r w:rsidRPr="00E52C21">
              <w:t xml:space="preserve">equipment and personal protective equipment (PPE) currently used in industry </w:t>
            </w:r>
          </w:p>
          <w:p w:rsidR="00000000" w:rsidRPr="00E52C21" w:rsidP="00E52C21">
            <w:pPr>
              <w:pStyle w:val="ListBullet"/>
            </w:pPr>
            <w:r w:rsidRPr="00E52C21">
              <w:t>applicable documentation, including workplace procedures, equipment specifications, regulations, codes of practice and operation manuals.</w:t>
            </w:r>
          </w:p>
        </w:tc>
      </w:tr>
    </w:tbl>
    <w:p w:rsidR="00000000" w:rsidRPr="00E52C21" w:rsidP="00E52C21">
      <w:pPr>
        <w:pStyle w:val="NoPaddingFontSize1"/>
      </w:pPr>
    </w:p>
    <w:p w:rsidR="00000000" w:rsidRPr="00E52C21" w:rsidP="00E52C21">
      <w:pPr>
        <w:pStyle w:val="AllowPageBreak"/>
      </w:pPr>
    </w:p>
    <w:p w:rsidR="00000000" w:rsidRPr="00E52C21" w:rsidP="00E52C21">
      <w:pPr>
        <w:pStyle w:val="Heading1"/>
      </w:pPr>
      <w:bookmarkStart w:id="5" w:name="O_1076807"/>
      <w:bookmarkEnd w:id="5"/>
      <w:r w:rsidRPr="00E52C21">
        <w:t>Links</w:t>
      </w:r>
    </w:p>
    <w:p w:rsidR="00000000" w:rsidRPr="00E52C21" w:rsidP="00387E03">
      <w:pPr>
        <w:pStyle w:val="BodyText"/>
      </w:pPr>
      <w:r w:rsidRPr="00E52C21">
        <w:t>Companion Vol</w:t>
      </w:r>
      <w:r w:rsidRPr="00E52C21">
        <w:t xml:space="preserve">ume implementation guides are found in VETNet - - </w:t>
      </w:r>
      <w:r>
        <w:fldChar w:fldCharType="begin"/>
      </w:r>
      <w:r>
        <w:instrText xml:space="preserve"> HYPERLINK "https://vetnet.gov.au/Pages/TrainingDocs.aspx?q=b8a8f136-5421-4ce1-92e0-2b50341431b6" </w:instrText>
      </w:r>
      <w:r>
        <w:fldChar w:fldCharType="separate"/>
      </w:r>
      <w:r w:rsidRPr="006F1D6F">
        <w:rPr>
          <w:rStyle w:val="Hyperlink"/>
        </w:rPr>
        <w:t>https://vetnet.gov.au/Pages/TrainingDocs.aspx?q=b8a8f136-5421-4ce1-92e0-2b50341431b6</w:t>
      </w:r>
      <w:r>
        <w:fldChar w:fldCharType="end"/>
      </w:r>
    </w:p>
    <w:p w:rsidR="00000000" w:rsidRPr="00E52C21" w:rsidP="00E52C21"/>
    <w:sectPr w:rsidSect="00E52C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21" w:rsidRPr="00387E03" w:rsidP="00387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03" w:rsidP="00E52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E03" w:rsidP="00E52C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87E03" w:rsidP="00E52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C21" w:rsidRPr="00387E03" w:rsidP="00387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03" w:rsidRPr="002D2AF8" w:rsidP="00E52C21">
    <w:pPr>
      <w:pStyle w:val="Header"/>
      <w:framePr w:wrap="around"/>
    </w:pPr>
    <w:r>
      <w:fldChar w:fldCharType="begin"/>
    </w:r>
    <w:r>
      <w:instrText xml:space="preserve"> TITLE   \* MERGEFORMAT </w:instrText>
    </w:r>
    <w:r>
      <w:fldChar w:fldCharType="separate"/>
    </w:r>
    <w:r>
      <w:t>Assessment Requirements for UEERA0095 Recover refrigerant from stationary self-contained end of life decommissioned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87E03" w:rsidP="00E52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8C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4A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E6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C21"/>
    <w:pPr>
      <w:spacing w:before="360" w:after="60"/>
      <w:outlineLvl w:val="0"/>
    </w:pPr>
    <w:rPr>
      <w:sz w:val="32"/>
    </w:rPr>
  </w:style>
  <w:style w:type="paragraph" w:styleId="Heading2">
    <w:name w:val="heading 2"/>
    <w:basedOn w:val="HeadingBase"/>
    <w:next w:val="BodyText"/>
    <w:link w:val="Heading2Char"/>
    <w:qFormat/>
    <w:rsid w:val="00E52C21"/>
    <w:pPr>
      <w:keepLines/>
      <w:spacing w:before="240" w:after="120"/>
      <w:outlineLvl w:val="1"/>
    </w:pPr>
    <w:rPr>
      <w:sz w:val="28"/>
      <w:szCs w:val="40"/>
    </w:rPr>
  </w:style>
  <w:style w:type="paragraph" w:styleId="Heading3">
    <w:name w:val="heading 3"/>
    <w:basedOn w:val="HeadingBase"/>
    <w:next w:val="BodyText"/>
    <w:link w:val="Heading3Char"/>
    <w:qFormat/>
    <w:rsid w:val="00E52C21"/>
    <w:pPr>
      <w:spacing w:before="180" w:after="120"/>
      <w:outlineLvl w:val="2"/>
    </w:pPr>
    <w:rPr>
      <w:spacing w:val="-10"/>
      <w:kern w:val="32"/>
    </w:rPr>
  </w:style>
  <w:style w:type="paragraph" w:styleId="Heading4">
    <w:name w:val="heading 4"/>
    <w:basedOn w:val="HeadingBase"/>
    <w:next w:val="BodyText"/>
    <w:link w:val="Heading4Char"/>
    <w:qFormat/>
    <w:rsid w:val="00E52C21"/>
    <w:pPr>
      <w:spacing w:before="160" w:after="120"/>
      <w:outlineLvl w:val="3"/>
    </w:pPr>
    <w:rPr>
      <w:sz w:val="22"/>
    </w:rPr>
  </w:style>
  <w:style w:type="paragraph" w:styleId="Heading5">
    <w:name w:val="heading 5"/>
    <w:basedOn w:val="HeadingBase"/>
    <w:next w:val="Normal"/>
    <w:link w:val="Heading5Char"/>
    <w:qFormat/>
    <w:rsid w:val="00E52C21"/>
    <w:pPr>
      <w:spacing w:before="80"/>
      <w:outlineLvl w:val="4"/>
    </w:pPr>
    <w:rPr>
      <w:color w:val="918585"/>
      <w:sz w:val="20"/>
    </w:rPr>
  </w:style>
  <w:style w:type="paragraph" w:styleId="Heading6">
    <w:name w:val="heading 6"/>
    <w:basedOn w:val="HeadingBase"/>
    <w:next w:val="Normal"/>
    <w:link w:val="Heading6Char"/>
    <w:qFormat/>
    <w:rsid w:val="00E52C21"/>
    <w:pPr>
      <w:spacing w:before="60"/>
      <w:outlineLvl w:val="5"/>
    </w:pPr>
    <w:rPr>
      <w:color w:val="918585"/>
      <w:sz w:val="20"/>
    </w:rPr>
  </w:style>
  <w:style w:type="paragraph" w:styleId="Heading7">
    <w:name w:val="heading 7"/>
    <w:basedOn w:val="Normal"/>
    <w:next w:val="Normal"/>
    <w:link w:val="Heading7Char"/>
    <w:qFormat/>
    <w:rsid w:val="00E52C21"/>
    <w:pPr>
      <w:ind w:left="720"/>
      <w:outlineLvl w:val="6"/>
    </w:pPr>
    <w:rPr>
      <w:i/>
    </w:rPr>
  </w:style>
  <w:style w:type="paragraph" w:styleId="Heading8">
    <w:name w:val="heading 8"/>
    <w:basedOn w:val="Normal"/>
    <w:next w:val="Normal"/>
    <w:link w:val="Heading8Char"/>
    <w:qFormat/>
    <w:rsid w:val="00E52C21"/>
    <w:pPr>
      <w:ind w:left="720"/>
      <w:outlineLvl w:val="7"/>
    </w:pPr>
    <w:rPr>
      <w:i/>
    </w:rPr>
  </w:style>
  <w:style w:type="paragraph" w:styleId="Heading9">
    <w:name w:val="heading 9"/>
    <w:basedOn w:val="Normal"/>
    <w:next w:val="Normal"/>
    <w:link w:val="Heading9Char"/>
    <w:qFormat/>
    <w:rsid w:val="00E52C21"/>
    <w:pPr>
      <w:ind w:left="720"/>
      <w:outlineLvl w:val="8"/>
    </w:pPr>
    <w:rPr>
      <w:i/>
    </w:rPr>
  </w:style>
  <w:style w:type="character" w:default="1" w:styleId="DefaultParagraphFont">
    <w:name w:val="Default Paragraph Font"/>
    <w:uiPriority w:val="1"/>
    <w:unhideWhenUsed/>
    <w:rsid w:val="00E52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C21"/>
  </w:style>
  <w:style w:type="character" w:customStyle="1" w:styleId="Heading1Char">
    <w:name w:val="Heading 1 Char"/>
    <w:basedOn w:val="DefaultParagraphFont"/>
    <w:link w:val="Heading1"/>
    <w:rsid w:val="00E52C21"/>
    <w:rPr>
      <w:rFonts w:ascii="Times New Roman" w:eastAsia="Times New Roman" w:hAnsi="Times New Roman" w:cs="Times New Roman"/>
      <w:b/>
      <w:sz w:val="32"/>
      <w:szCs w:val="20"/>
      <w:lang w:eastAsia="en-US"/>
    </w:rPr>
  </w:style>
  <w:style w:type="paragraph" w:styleId="BodyText">
    <w:name w:val="Body Text"/>
    <w:basedOn w:val="Normal"/>
    <w:link w:val="BodyTextChar"/>
    <w:rsid w:val="00E52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C21"/>
    <w:rPr>
      <w:rFonts w:ascii="Times New Roman" w:eastAsia="Times New Roman" w:hAnsi="Times New Roman" w:cs="Times New Roman"/>
      <w:sz w:val="24"/>
      <w:lang w:eastAsia="en-US"/>
    </w:rPr>
  </w:style>
  <w:style w:type="paragraph" w:styleId="ListBullet">
    <w:name w:val="List Bullet"/>
    <w:basedOn w:val="List"/>
    <w:rsid w:val="00E52C21"/>
    <w:pPr>
      <w:numPr>
        <w:numId w:val="13"/>
      </w:numPr>
      <w:tabs>
        <w:tab w:val="clear" w:pos="340"/>
      </w:tabs>
      <w:spacing w:before="40" w:after="40"/>
    </w:pPr>
  </w:style>
  <w:style w:type="paragraph" w:styleId="ListBullet2">
    <w:name w:val="List Bullet 2"/>
    <w:basedOn w:val="List2"/>
    <w:rsid w:val="00E52C21"/>
    <w:pPr>
      <w:numPr>
        <w:numId w:val="14"/>
      </w:numPr>
      <w:tabs>
        <w:tab w:val="clear" w:pos="680"/>
      </w:tabs>
    </w:pPr>
  </w:style>
  <w:style w:type="paragraph" w:customStyle="1" w:styleId="SuperHeading">
    <w:name w:val="SuperHeading"/>
    <w:basedOn w:val="Normal"/>
    <w:rsid w:val="00E52C21"/>
    <w:pPr>
      <w:spacing w:before="240" w:after="120"/>
      <w:outlineLvl w:val="0"/>
    </w:pPr>
    <w:rPr>
      <w:rFonts w:ascii="Times New Roman" w:hAnsi="Times New Roman"/>
      <w:b/>
      <w:sz w:val="32"/>
    </w:rPr>
  </w:style>
  <w:style w:type="paragraph" w:customStyle="1" w:styleId="AllowPageBreak">
    <w:name w:val="AllowPageBreak"/>
    <w:rsid w:val="00E52C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2C2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2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C21"/>
    <w:rPr>
      <w:rFonts w:ascii="Courier New" w:eastAsia="Times New Roman" w:hAnsi="Courier New" w:cs="Times New Roman"/>
      <w:i/>
      <w:szCs w:val="20"/>
      <w:lang w:eastAsia="en-US"/>
    </w:rPr>
  </w:style>
  <w:style w:type="paragraph" w:customStyle="1" w:styleId="HeadingBase">
    <w:name w:val="Heading Base"/>
    <w:rsid w:val="00E52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C21"/>
    <w:pPr>
      <w:tabs>
        <w:tab w:val="right" w:leader="dot" w:pos="9072"/>
      </w:tabs>
      <w:ind w:left="567"/>
    </w:pPr>
    <w:rPr>
      <w:szCs w:val="22"/>
    </w:rPr>
  </w:style>
  <w:style w:type="paragraph" w:customStyle="1" w:styleId="TOCBase">
    <w:name w:val="TOC Base"/>
    <w:rsid w:val="00E52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C21"/>
    <w:pPr>
      <w:tabs>
        <w:tab w:val="right" w:leader="dot" w:pos="9072"/>
      </w:tabs>
      <w:spacing w:before="40" w:after="40"/>
      <w:ind w:left="284"/>
    </w:pPr>
    <w:rPr>
      <w:rFonts w:ascii="Times New Roman" w:hAnsi="Times New Roman"/>
    </w:rPr>
  </w:style>
  <w:style w:type="paragraph" w:styleId="TOC1">
    <w:name w:val="toc 1"/>
    <w:basedOn w:val="TOCBase"/>
    <w:next w:val="Normal"/>
    <w:rsid w:val="00E52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C21"/>
    <w:rPr>
      <w:rFonts w:ascii="Times New Roman" w:eastAsia="Times New Roman" w:hAnsi="Times New Roman" w:cs="Times New Roman"/>
      <w:sz w:val="16"/>
      <w:lang w:eastAsia="en-US"/>
    </w:rPr>
  </w:style>
  <w:style w:type="paragraph" w:styleId="Title">
    <w:name w:val="Title"/>
    <w:basedOn w:val="HeadingBase"/>
    <w:link w:val="TitleChar"/>
    <w:qFormat/>
    <w:rsid w:val="00E52C21"/>
    <w:pPr>
      <w:spacing w:before="5040"/>
      <w:jc w:val="center"/>
    </w:pPr>
    <w:rPr>
      <w:sz w:val="48"/>
      <w:szCs w:val="72"/>
      <w:lang w:val="en-US"/>
    </w:rPr>
  </w:style>
  <w:style w:type="character" w:customStyle="1" w:styleId="TitleChar">
    <w:name w:val="Title Char"/>
    <w:basedOn w:val="DefaultParagraphFont"/>
    <w:link w:val="Title"/>
    <w:rsid w:val="00E52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C21"/>
    <w:pPr>
      <w:tabs>
        <w:tab w:val="left" w:pos="3600"/>
        <w:tab w:val="left" w:pos="3958"/>
      </w:tabs>
    </w:pPr>
  </w:style>
  <w:style w:type="paragraph" w:styleId="List">
    <w:name w:val="List"/>
    <w:basedOn w:val="BodyText"/>
    <w:next w:val="BodyText"/>
    <w:rsid w:val="00E52C21"/>
    <w:pPr>
      <w:tabs>
        <w:tab w:val="left" w:pos="340"/>
      </w:tabs>
      <w:spacing w:before="60" w:after="60"/>
      <w:ind w:left="340" w:hanging="340"/>
    </w:pPr>
  </w:style>
  <w:style w:type="paragraph" w:customStyle="1" w:styleId="Note">
    <w:name w:val="Note"/>
    <w:basedOn w:val="BodyText"/>
    <w:rsid w:val="00E52C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2C21"/>
    <w:rPr>
      <w:b/>
      <w:spacing w:val="0"/>
    </w:rPr>
  </w:style>
  <w:style w:type="paragraph" w:customStyle="1" w:styleId="SuperTitle">
    <w:name w:val="SuperTitle"/>
    <w:basedOn w:val="Title"/>
    <w:rsid w:val="00E52C21"/>
    <w:pPr>
      <w:framePr w:wrap="auto" w:hAnchor="text" w:y="6049"/>
    </w:pPr>
    <w:rPr>
      <w:color w:val="000000"/>
      <w:sz w:val="40"/>
    </w:rPr>
  </w:style>
  <w:style w:type="paragraph" w:customStyle="1" w:styleId="TOCTitle">
    <w:name w:val="TOCTitle"/>
    <w:basedOn w:val="Heading1"/>
    <w:rsid w:val="00E52C21"/>
    <w:pPr>
      <w:spacing w:after="240"/>
      <w:jc w:val="center"/>
      <w:outlineLvl w:val="9"/>
    </w:pPr>
    <w:rPr>
      <w:caps/>
    </w:rPr>
  </w:style>
  <w:style w:type="paragraph" w:customStyle="1" w:styleId="Version">
    <w:name w:val="Version"/>
    <w:rsid w:val="00E52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C21"/>
    <w:pPr>
      <w:keepNext w:val="0"/>
      <w:tabs>
        <w:tab w:val="right" w:pos="4176"/>
      </w:tabs>
      <w:ind w:left="198" w:hanging="198"/>
    </w:pPr>
    <w:rPr>
      <w:rFonts w:ascii="Garamond" w:hAnsi="Garamond"/>
    </w:rPr>
  </w:style>
  <w:style w:type="paragraph" w:styleId="IndexHeading">
    <w:name w:val="index heading"/>
    <w:basedOn w:val="Normal"/>
    <w:next w:val="Index1"/>
    <w:semiHidden/>
    <w:rsid w:val="00E52C21"/>
    <w:pPr>
      <w:spacing w:before="120" w:after="120"/>
    </w:pPr>
    <w:rPr>
      <w:rFonts w:ascii="Arial" w:hAnsi="Arial"/>
      <w:b/>
      <w:color w:val="918585"/>
      <w:sz w:val="24"/>
    </w:rPr>
  </w:style>
  <w:style w:type="paragraph" w:styleId="Header">
    <w:name w:val="header"/>
    <w:basedOn w:val="Normal"/>
    <w:link w:val="HeaderChar"/>
    <w:rsid w:val="00E52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C21"/>
    <w:rPr>
      <w:rFonts w:ascii="Times New Roman" w:eastAsia="Times New Roman" w:hAnsi="Times New Roman" w:cs="Times New Roman"/>
      <w:sz w:val="16"/>
      <w:szCs w:val="20"/>
      <w:lang w:val="en-GB" w:eastAsia="en-US"/>
    </w:rPr>
  </w:style>
  <w:style w:type="paragraph" w:customStyle="1" w:styleId="Chapter">
    <w:name w:val="Chapter"/>
    <w:basedOn w:val="Normal"/>
    <w:rsid w:val="00E52C21"/>
    <w:pPr>
      <w:spacing w:before="240"/>
    </w:pPr>
    <w:rPr>
      <w:rFonts w:ascii="Times New Roman" w:hAnsi="Times New Roman"/>
      <w:smallCaps/>
      <w:spacing w:val="80"/>
      <w:sz w:val="28"/>
    </w:rPr>
  </w:style>
  <w:style w:type="paragraph" w:customStyle="1" w:styleId="InChapter">
    <w:name w:val="InChapter"/>
    <w:basedOn w:val="Heading3"/>
    <w:rsid w:val="00E52C21"/>
    <w:pPr>
      <w:spacing w:after="240"/>
      <w:outlineLvl w:val="9"/>
    </w:pPr>
    <w:rPr>
      <w:noProof/>
    </w:rPr>
  </w:style>
  <w:style w:type="paragraph" w:styleId="Index2">
    <w:name w:val="index 2"/>
    <w:basedOn w:val="Normal"/>
    <w:next w:val="Normal"/>
    <w:semiHidden/>
    <w:rsid w:val="00E52C21"/>
    <w:pPr>
      <w:tabs>
        <w:tab w:val="right" w:pos="4176"/>
      </w:tabs>
      <w:ind w:left="568" w:hanging="284"/>
    </w:pPr>
    <w:rPr>
      <w:rFonts w:ascii="Garamond" w:hAnsi="Garamond"/>
    </w:rPr>
  </w:style>
  <w:style w:type="paragraph" w:customStyle="1" w:styleId="Byline">
    <w:name w:val="Byline"/>
    <w:rsid w:val="00E52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C21"/>
    <w:pPr>
      <w:tabs>
        <w:tab w:val="clear" w:pos="3600"/>
        <w:tab w:val="clear" w:pos="3958"/>
      </w:tabs>
      <w:jc w:val="right"/>
    </w:pPr>
  </w:style>
  <w:style w:type="character" w:styleId="Emphasis">
    <w:name w:val="Emphasis"/>
    <w:basedOn w:val="DefaultParagraphFont"/>
    <w:qFormat/>
    <w:rsid w:val="00E52C21"/>
    <w:rPr>
      <w:i/>
    </w:rPr>
  </w:style>
  <w:style w:type="paragraph" w:styleId="Caption">
    <w:name w:val="caption"/>
    <w:basedOn w:val="BodyText"/>
    <w:next w:val="Normal"/>
    <w:qFormat/>
    <w:rsid w:val="00E52C21"/>
    <w:pPr>
      <w:framePr w:w="2268" w:hSpace="181" w:vSpace="181" w:wrap="around" w:vAnchor="text" w:hAnchor="page" w:x="1135" w:y="285" w:anchorLock="1"/>
    </w:pPr>
    <w:rPr>
      <w:i/>
    </w:rPr>
  </w:style>
  <w:style w:type="paragraph" w:customStyle="1" w:styleId="MiniTOCTitle">
    <w:name w:val="MiniTOCTitle"/>
    <w:basedOn w:val="Heading4"/>
    <w:rsid w:val="00E52C21"/>
    <w:pPr>
      <w:spacing w:before="240"/>
      <w:outlineLvl w:val="9"/>
    </w:pPr>
    <w:rPr>
      <w:noProof/>
      <w:sz w:val="24"/>
    </w:rPr>
  </w:style>
  <w:style w:type="paragraph" w:customStyle="1" w:styleId="MiniTOCItem">
    <w:name w:val="MiniTOCItem"/>
    <w:basedOn w:val="ListBullet"/>
    <w:rsid w:val="00E52C21"/>
    <w:pPr>
      <w:numPr>
        <w:numId w:val="0"/>
      </w:numPr>
      <w:tabs>
        <w:tab w:val="right" w:leader="dot" w:pos="6521"/>
      </w:tabs>
      <w:spacing w:before="0" w:after="0"/>
    </w:pPr>
  </w:style>
  <w:style w:type="paragraph" w:customStyle="1" w:styleId="TOFTitle">
    <w:name w:val="TOFTitle"/>
    <w:basedOn w:val="TOCTitle"/>
    <w:rsid w:val="00E52C21"/>
  </w:style>
  <w:style w:type="paragraph" w:styleId="TableofFigures">
    <w:name w:val="table of figures"/>
    <w:basedOn w:val="Normal"/>
    <w:next w:val="Normal"/>
    <w:semiHidden/>
    <w:rsid w:val="00E52C21"/>
    <w:pPr>
      <w:tabs>
        <w:tab w:val="right" w:leader="dot" w:pos="9072"/>
      </w:tabs>
      <w:ind w:left="970" w:hanging="403"/>
    </w:pPr>
    <w:rPr>
      <w:rFonts w:ascii="Times New Roman" w:hAnsi="Times New Roman"/>
      <w:b/>
    </w:rPr>
  </w:style>
  <w:style w:type="paragraph" w:styleId="ListNumber">
    <w:name w:val="List Number"/>
    <w:basedOn w:val="List"/>
    <w:rsid w:val="00E52C21"/>
    <w:pPr>
      <w:numPr>
        <w:numId w:val="16"/>
      </w:numPr>
      <w:tabs>
        <w:tab w:val="clear" w:pos="340"/>
      </w:tabs>
    </w:pPr>
  </w:style>
  <w:style w:type="character" w:customStyle="1" w:styleId="WingdingSymbols">
    <w:name w:val="Wingding Symbols"/>
    <w:rsid w:val="00E52C21"/>
    <w:rPr>
      <w:rFonts w:ascii="Wingdings" w:hAnsi="Wingdings"/>
    </w:rPr>
  </w:style>
  <w:style w:type="paragraph" w:customStyle="1" w:styleId="TableHeading">
    <w:name w:val="Table Heading"/>
    <w:basedOn w:val="HeadingBase"/>
    <w:rsid w:val="00E52C21"/>
    <w:pPr>
      <w:keepLines/>
      <w:pBdr>
        <w:bottom w:val="single" w:sz="6" w:space="1" w:color="918585"/>
      </w:pBdr>
      <w:spacing w:before="240"/>
    </w:pPr>
  </w:style>
  <w:style w:type="character" w:customStyle="1" w:styleId="HotSpot">
    <w:name w:val="HotSpot"/>
    <w:rsid w:val="00E52C21"/>
    <w:rPr>
      <w:color w:val="0033CC"/>
      <w:u w:val="none"/>
    </w:rPr>
  </w:style>
  <w:style w:type="paragraph" w:customStyle="1" w:styleId="BodyTextRight">
    <w:name w:val="Body Text Right"/>
    <w:basedOn w:val="BodyText"/>
    <w:rsid w:val="00E52C21"/>
    <w:pPr>
      <w:spacing w:before="0" w:after="0"/>
      <w:jc w:val="right"/>
    </w:pPr>
  </w:style>
  <w:style w:type="paragraph" w:styleId="Index3">
    <w:name w:val="index 3"/>
    <w:basedOn w:val="ListNumber2"/>
    <w:next w:val="Normal"/>
    <w:semiHidden/>
    <w:rsid w:val="00E52C21"/>
    <w:pPr>
      <w:numPr>
        <w:numId w:val="0"/>
      </w:numPr>
      <w:tabs>
        <w:tab w:val="right" w:leader="dot" w:pos="4176"/>
      </w:tabs>
    </w:pPr>
  </w:style>
  <w:style w:type="paragraph" w:styleId="ListNumber2">
    <w:name w:val="List Number 2"/>
    <w:basedOn w:val="List2"/>
    <w:rsid w:val="00E52C21"/>
    <w:pPr>
      <w:numPr>
        <w:numId w:val="11"/>
      </w:numPr>
      <w:tabs>
        <w:tab w:val="clear" w:pos="1060"/>
      </w:tabs>
    </w:pPr>
  </w:style>
  <w:style w:type="paragraph" w:customStyle="1" w:styleId="MarginNote">
    <w:name w:val="Margin Note"/>
    <w:basedOn w:val="BodyText"/>
    <w:rsid w:val="00E52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C21"/>
    <w:rPr>
      <w:sz w:val="32"/>
    </w:rPr>
  </w:style>
  <w:style w:type="paragraph" w:customStyle="1" w:styleId="HeadingProcedure">
    <w:name w:val="Heading Procedure"/>
    <w:basedOn w:val="HeadingBase"/>
    <w:next w:val="Normal"/>
    <w:rsid w:val="00E52C21"/>
    <w:pPr>
      <w:tabs>
        <w:tab w:val="left" w:pos="0"/>
      </w:tabs>
      <w:spacing w:before="120" w:after="60"/>
    </w:pPr>
    <w:rPr>
      <w:i/>
      <w:color w:val="918585"/>
      <w:sz w:val="22"/>
    </w:rPr>
  </w:style>
  <w:style w:type="paragraph" w:customStyle="1" w:styleId="TableBodyText">
    <w:name w:val="Table Body Text"/>
    <w:basedOn w:val="BodyText"/>
    <w:rsid w:val="00E52C21"/>
    <w:pPr>
      <w:spacing w:before="60" w:after="60"/>
    </w:pPr>
  </w:style>
  <w:style w:type="paragraph" w:styleId="ListContinue">
    <w:name w:val="List Continue"/>
    <w:basedOn w:val="List"/>
    <w:rsid w:val="00E52C21"/>
    <w:pPr>
      <w:ind w:firstLine="0"/>
    </w:pPr>
  </w:style>
  <w:style w:type="paragraph" w:customStyle="1" w:styleId="ListNote">
    <w:name w:val="List Note"/>
    <w:basedOn w:val="List"/>
    <w:rsid w:val="00E52C21"/>
    <w:pPr>
      <w:pBdr>
        <w:top w:val="single" w:sz="6" w:space="2" w:color="918585"/>
        <w:bottom w:val="single" w:sz="6" w:space="2" w:color="918585"/>
      </w:pBdr>
      <w:tabs>
        <w:tab w:val="left" w:pos="1021"/>
      </w:tabs>
      <w:ind w:firstLine="0"/>
    </w:pPr>
  </w:style>
  <w:style w:type="paragraph" w:customStyle="1" w:styleId="Warning">
    <w:name w:val="Warning"/>
    <w:basedOn w:val="BodyText"/>
    <w:rsid w:val="00E52C21"/>
    <w:pPr>
      <w:shd w:val="clear" w:color="auto" w:fill="D9D9D9"/>
      <w:tabs>
        <w:tab w:val="left" w:pos="992"/>
      </w:tabs>
      <w:ind w:left="119" w:right="119"/>
    </w:pPr>
    <w:rPr>
      <w:sz w:val="20"/>
    </w:rPr>
  </w:style>
  <w:style w:type="paragraph" w:customStyle="1" w:styleId="MarginIcons">
    <w:name w:val="Margin Icons"/>
    <w:basedOn w:val="BodyText"/>
    <w:rsid w:val="00E52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C21"/>
    <w:rPr>
      <w:rFonts w:ascii="Courier New" w:hAnsi="Courier New"/>
    </w:rPr>
  </w:style>
  <w:style w:type="paragraph" w:customStyle="1" w:styleId="NoteBullet">
    <w:name w:val="Note Bullet"/>
    <w:basedOn w:val="Note"/>
    <w:rsid w:val="00E52C21"/>
    <w:pPr>
      <w:tabs>
        <w:tab w:val="clear" w:pos="680"/>
      </w:tabs>
      <w:spacing w:before="60" w:after="60"/>
    </w:pPr>
  </w:style>
  <w:style w:type="paragraph" w:customStyle="1" w:styleId="SubHeading2">
    <w:name w:val="SubHeading2"/>
    <w:basedOn w:val="HeadingBase"/>
    <w:rsid w:val="00E52C21"/>
    <w:pPr>
      <w:spacing w:before="240" w:after="60"/>
    </w:pPr>
    <w:rPr>
      <w:sz w:val="20"/>
    </w:rPr>
  </w:style>
  <w:style w:type="paragraph" w:customStyle="1" w:styleId="SubHeading1">
    <w:name w:val="SubHeading1"/>
    <w:basedOn w:val="HeadingBase"/>
    <w:rsid w:val="00E52C21"/>
    <w:pPr>
      <w:spacing w:before="240" w:after="60"/>
    </w:pPr>
    <w:rPr>
      <w:color w:val="918585"/>
      <w:sz w:val="22"/>
    </w:rPr>
  </w:style>
  <w:style w:type="paragraph" w:customStyle="1" w:styleId="SideHeading">
    <w:name w:val="Side Heading"/>
    <w:basedOn w:val="HeadingBase"/>
    <w:rsid w:val="00E52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C21"/>
    <w:pPr>
      <w:numPr>
        <w:numId w:val="12"/>
      </w:numPr>
    </w:pPr>
  </w:style>
  <w:style w:type="paragraph" w:styleId="PlainText">
    <w:name w:val="Plain Text"/>
    <w:basedOn w:val="Normal"/>
    <w:link w:val="PlainTextChar"/>
    <w:rsid w:val="00E52C21"/>
    <w:rPr>
      <w:sz w:val="20"/>
    </w:rPr>
  </w:style>
  <w:style w:type="character" w:customStyle="1" w:styleId="PlainTextChar">
    <w:name w:val="Plain Text Char"/>
    <w:basedOn w:val="DefaultParagraphFont"/>
    <w:link w:val="PlainText"/>
    <w:rsid w:val="00E52C21"/>
    <w:rPr>
      <w:rFonts w:ascii="Courier New" w:eastAsia="Times New Roman" w:hAnsi="Courier New" w:cs="Times New Roman"/>
      <w:sz w:val="20"/>
      <w:szCs w:val="20"/>
      <w:lang w:eastAsia="en-US"/>
    </w:rPr>
  </w:style>
  <w:style w:type="character" w:customStyle="1" w:styleId="MenuOption">
    <w:name w:val="Menu Option"/>
    <w:basedOn w:val="DefaultParagraphFont"/>
    <w:rsid w:val="00E52C21"/>
    <w:rPr>
      <w:b/>
      <w:smallCaps/>
    </w:rPr>
  </w:style>
  <w:style w:type="paragraph" w:customStyle="1" w:styleId="TableListNumber">
    <w:name w:val="Table List Number"/>
    <w:basedOn w:val="ListNumber"/>
    <w:rsid w:val="00E52C21"/>
    <w:pPr>
      <w:numPr>
        <w:numId w:val="0"/>
      </w:numPr>
    </w:pPr>
  </w:style>
  <w:style w:type="paragraph" w:styleId="TOC4">
    <w:name w:val="toc 4"/>
    <w:basedOn w:val="TOCBase"/>
    <w:next w:val="Normal"/>
    <w:semiHidden/>
    <w:rsid w:val="00E52C21"/>
    <w:pPr>
      <w:tabs>
        <w:tab w:val="right" w:leader="dot" w:pos="9071"/>
      </w:tabs>
      <w:ind w:left="1701"/>
    </w:pPr>
  </w:style>
  <w:style w:type="paragraph" w:customStyle="1" w:styleId="ListAlpha">
    <w:name w:val="List Alpha"/>
    <w:basedOn w:val="List"/>
    <w:rsid w:val="00E52C21"/>
    <w:pPr>
      <w:numPr>
        <w:numId w:val="10"/>
      </w:numPr>
    </w:pPr>
  </w:style>
  <w:style w:type="paragraph" w:customStyle="1" w:styleId="ListAlpha2">
    <w:name w:val="List Alpha 2"/>
    <w:basedOn w:val="List2"/>
    <w:rsid w:val="00E52C21"/>
    <w:pPr>
      <w:numPr>
        <w:numId w:val="9"/>
      </w:numPr>
    </w:pPr>
  </w:style>
  <w:style w:type="paragraph" w:styleId="List2">
    <w:name w:val="List 2"/>
    <w:basedOn w:val="BodyText"/>
    <w:rsid w:val="00E52C21"/>
    <w:pPr>
      <w:tabs>
        <w:tab w:val="left" w:pos="680"/>
      </w:tabs>
      <w:spacing w:before="60" w:after="60"/>
      <w:ind w:left="680" w:hanging="340"/>
    </w:pPr>
  </w:style>
  <w:style w:type="paragraph" w:styleId="List3">
    <w:name w:val="List 3"/>
    <w:basedOn w:val="BodyText"/>
    <w:rsid w:val="00E52C21"/>
    <w:pPr>
      <w:tabs>
        <w:tab w:val="left" w:pos="1021"/>
      </w:tabs>
      <w:spacing w:before="60" w:after="60"/>
      <w:ind w:left="1020" w:hanging="340"/>
    </w:pPr>
  </w:style>
  <w:style w:type="paragraph" w:styleId="List4">
    <w:name w:val="List 4"/>
    <w:basedOn w:val="BodyText"/>
    <w:rsid w:val="00E52C21"/>
    <w:pPr>
      <w:tabs>
        <w:tab w:val="left" w:pos="1361"/>
      </w:tabs>
      <w:spacing w:before="60" w:after="60"/>
      <w:ind w:left="1361" w:hanging="340"/>
    </w:pPr>
  </w:style>
  <w:style w:type="paragraph" w:styleId="List5">
    <w:name w:val="List 5"/>
    <w:basedOn w:val="BodyText"/>
    <w:rsid w:val="00E52C21"/>
    <w:pPr>
      <w:tabs>
        <w:tab w:val="left" w:pos="1701"/>
      </w:tabs>
      <w:spacing w:before="60" w:after="60"/>
      <w:ind w:left="1701" w:hanging="340"/>
    </w:pPr>
  </w:style>
  <w:style w:type="paragraph" w:styleId="ListBullet4">
    <w:name w:val="List Bullet 4"/>
    <w:basedOn w:val="List4"/>
    <w:rsid w:val="00E52C21"/>
    <w:pPr>
      <w:numPr>
        <w:numId w:val="4"/>
      </w:numPr>
      <w:tabs>
        <w:tab w:val="clear" w:pos="1361"/>
      </w:tabs>
    </w:pPr>
  </w:style>
  <w:style w:type="paragraph" w:styleId="ListBullet5">
    <w:name w:val="List Bullet 5"/>
    <w:basedOn w:val="List5"/>
    <w:rsid w:val="00E52C21"/>
    <w:pPr>
      <w:numPr>
        <w:numId w:val="5"/>
      </w:numPr>
    </w:pPr>
  </w:style>
  <w:style w:type="paragraph" w:styleId="ListContinue2">
    <w:name w:val="List Continue 2"/>
    <w:basedOn w:val="List2"/>
    <w:rsid w:val="00E52C21"/>
    <w:pPr>
      <w:ind w:firstLine="0"/>
    </w:pPr>
  </w:style>
  <w:style w:type="paragraph" w:styleId="ListContinue3">
    <w:name w:val="List Continue 3"/>
    <w:basedOn w:val="List3"/>
    <w:rsid w:val="00E52C21"/>
    <w:pPr>
      <w:ind w:left="1021" w:firstLine="0"/>
    </w:pPr>
  </w:style>
  <w:style w:type="paragraph" w:styleId="ListContinue4">
    <w:name w:val="List Continue 4"/>
    <w:basedOn w:val="List4"/>
    <w:rsid w:val="00E52C21"/>
    <w:pPr>
      <w:ind w:firstLine="0"/>
    </w:pPr>
  </w:style>
  <w:style w:type="paragraph" w:styleId="ListContinue5">
    <w:name w:val="List Continue 5"/>
    <w:basedOn w:val="List5"/>
    <w:rsid w:val="00E52C21"/>
    <w:pPr>
      <w:ind w:firstLine="0"/>
    </w:pPr>
  </w:style>
  <w:style w:type="paragraph" w:styleId="ListNumber3">
    <w:name w:val="List Number 3"/>
    <w:basedOn w:val="List3"/>
    <w:rsid w:val="00E52C21"/>
    <w:pPr>
      <w:numPr>
        <w:numId w:val="6"/>
      </w:numPr>
    </w:pPr>
  </w:style>
  <w:style w:type="paragraph" w:styleId="ListNumber4">
    <w:name w:val="List Number 4"/>
    <w:basedOn w:val="List4"/>
    <w:rsid w:val="00E52C21"/>
    <w:pPr>
      <w:numPr>
        <w:numId w:val="7"/>
      </w:numPr>
    </w:pPr>
  </w:style>
  <w:style w:type="paragraph" w:styleId="ListNumber5">
    <w:name w:val="List Number 5"/>
    <w:basedOn w:val="List5"/>
    <w:rsid w:val="00E52C21"/>
    <w:pPr>
      <w:numPr>
        <w:numId w:val="8"/>
      </w:numPr>
    </w:pPr>
  </w:style>
  <w:style w:type="paragraph" w:styleId="BlockText">
    <w:name w:val="Block Text"/>
    <w:basedOn w:val="Normal"/>
    <w:rsid w:val="00E52C21"/>
    <w:pPr>
      <w:spacing w:after="120"/>
      <w:ind w:left="1440" w:right="1440"/>
    </w:pPr>
  </w:style>
  <w:style w:type="character" w:customStyle="1" w:styleId="Subscript">
    <w:name w:val="Subscript"/>
    <w:basedOn w:val="DefaultParagraphFont"/>
    <w:rsid w:val="00E52C21"/>
    <w:rPr>
      <w:sz w:val="16"/>
      <w:vertAlign w:val="subscript"/>
    </w:rPr>
  </w:style>
  <w:style w:type="character" w:customStyle="1" w:styleId="Superscript">
    <w:name w:val="Superscript"/>
    <w:basedOn w:val="DefaultParagraphFont"/>
    <w:rsid w:val="00E52C21"/>
    <w:rPr>
      <w:sz w:val="16"/>
      <w:vertAlign w:val="superscript"/>
    </w:rPr>
  </w:style>
  <w:style w:type="character" w:customStyle="1" w:styleId="Symbols">
    <w:name w:val="Symbols"/>
    <w:basedOn w:val="DefaultParagraphFont"/>
    <w:rsid w:val="00E52C21"/>
    <w:rPr>
      <w:rFonts w:ascii="Symbol" w:hAnsi="Symbol"/>
    </w:rPr>
  </w:style>
  <w:style w:type="character" w:customStyle="1" w:styleId="MenuOptions">
    <w:name w:val="Menu Options"/>
    <w:basedOn w:val="DefaultParagraphFont"/>
    <w:rsid w:val="00E52C21"/>
    <w:rPr>
      <w:rFonts w:ascii="Arial Narrow" w:hAnsi="Arial Narrow"/>
      <w:smallCaps/>
    </w:rPr>
  </w:style>
  <w:style w:type="character" w:customStyle="1" w:styleId="Buttons">
    <w:name w:val="Buttons"/>
    <w:basedOn w:val="DefaultParagraphFont"/>
    <w:rsid w:val="00E52C21"/>
    <w:rPr>
      <w:b/>
    </w:rPr>
  </w:style>
  <w:style w:type="character" w:customStyle="1" w:styleId="Underlined">
    <w:name w:val="Underlined"/>
    <w:basedOn w:val="DefaultParagraphFont"/>
    <w:rsid w:val="00E52C21"/>
    <w:rPr>
      <w:u w:val="single"/>
    </w:rPr>
  </w:style>
  <w:style w:type="paragraph" w:customStyle="1" w:styleId="TableBodyTextRight">
    <w:name w:val="Table Body Text Right"/>
    <w:basedOn w:val="TableBodyText"/>
    <w:rsid w:val="00E52C21"/>
    <w:pPr>
      <w:widowControl w:val="0"/>
      <w:autoSpaceDE w:val="0"/>
      <w:autoSpaceDN w:val="0"/>
      <w:adjustRightInd w:val="0"/>
      <w:jc w:val="right"/>
    </w:pPr>
    <w:rPr>
      <w:rFonts w:cs="Arial"/>
      <w:szCs w:val="18"/>
    </w:rPr>
  </w:style>
  <w:style w:type="paragraph" w:customStyle="1" w:styleId="CopyrightText">
    <w:name w:val="Copyright Text"/>
    <w:basedOn w:val="BodyText"/>
    <w:rsid w:val="00E52C21"/>
    <w:rPr>
      <w:sz w:val="18"/>
    </w:rPr>
  </w:style>
  <w:style w:type="paragraph" w:customStyle="1" w:styleId="BodySmallRight">
    <w:name w:val="Body Small Right"/>
    <w:basedOn w:val="BodyTextRight"/>
    <w:rsid w:val="00E52C21"/>
    <w:rPr>
      <w:sz w:val="18"/>
      <w:szCs w:val="18"/>
    </w:rPr>
  </w:style>
  <w:style w:type="paragraph" w:customStyle="1" w:styleId="MarginEdition">
    <w:name w:val="Margin Edition"/>
    <w:basedOn w:val="MarginNote"/>
    <w:rsid w:val="00E52C21"/>
    <w:pPr>
      <w:spacing w:before="0" w:after="0"/>
    </w:pPr>
    <w:rPr>
      <w:rFonts w:ascii="Times New Roman" w:hAnsi="Times New Roman"/>
      <w:color w:val="999999"/>
    </w:rPr>
  </w:style>
  <w:style w:type="paragraph" w:customStyle="1" w:styleId="Spacer">
    <w:name w:val="Spacer"/>
    <w:basedOn w:val="Normal"/>
    <w:rsid w:val="00E52C21"/>
    <w:rPr>
      <w:sz w:val="2"/>
      <w:szCs w:val="2"/>
    </w:rPr>
  </w:style>
  <w:style w:type="character" w:customStyle="1" w:styleId="Small">
    <w:name w:val="Small"/>
    <w:basedOn w:val="DefaultParagraphFont"/>
    <w:rsid w:val="00E52C21"/>
    <w:rPr>
      <w:sz w:val="16"/>
    </w:rPr>
  </w:style>
  <w:style w:type="paragraph" w:customStyle="1" w:styleId="WideTable">
    <w:name w:val="Wide Table"/>
    <w:basedOn w:val="Normal"/>
    <w:rsid w:val="00E52C21"/>
    <w:pPr>
      <w:ind w:left="-1418"/>
    </w:pPr>
    <w:rPr>
      <w:sz w:val="2"/>
      <w:szCs w:val="2"/>
    </w:rPr>
  </w:style>
  <w:style w:type="character" w:styleId="PageNumber">
    <w:name w:val="page number"/>
    <w:basedOn w:val="DefaultParagraphFont"/>
    <w:rsid w:val="00E52C21"/>
  </w:style>
  <w:style w:type="paragraph" w:styleId="Quote">
    <w:name w:val="Quote"/>
    <w:basedOn w:val="Heading1"/>
    <w:link w:val="QuoteChar"/>
    <w:qFormat/>
    <w:rsid w:val="00E52C21"/>
    <w:rPr>
      <w:b w:val="0"/>
      <w:sz w:val="72"/>
      <w:szCs w:val="72"/>
      <w:lang w:val="en-NZ"/>
    </w:rPr>
  </w:style>
  <w:style w:type="character" w:customStyle="1" w:styleId="QuoteChar">
    <w:name w:val="Quote Char"/>
    <w:basedOn w:val="DefaultParagraphFont"/>
    <w:link w:val="Quote"/>
    <w:rsid w:val="00E52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C21"/>
    <w:pPr>
      <w:pageBreakBefore/>
    </w:pPr>
  </w:style>
  <w:style w:type="paragraph" w:customStyle="1" w:styleId="Border">
    <w:name w:val="Border"/>
    <w:basedOn w:val="Normal"/>
    <w:qFormat/>
    <w:rsid w:val="00E52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C21"/>
    <w:rPr>
      <w:b/>
      <w:bCs/>
      <w:i/>
      <w:iCs/>
      <w:color w:val="auto"/>
    </w:rPr>
  </w:style>
  <w:style w:type="paragraph" w:styleId="IntenseQuote">
    <w:name w:val="Intense Quote"/>
    <w:basedOn w:val="Normal"/>
    <w:next w:val="Normal"/>
    <w:link w:val="IntenseQuoteChar"/>
    <w:uiPriority w:val="30"/>
    <w:qFormat/>
    <w:rsid w:val="00E52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C21"/>
    <w:rPr>
      <w:smallCaps/>
      <w:color w:val="auto"/>
      <w:u w:val="single"/>
    </w:rPr>
  </w:style>
  <w:style w:type="character" w:styleId="IntenseReference">
    <w:name w:val="Intense Reference"/>
    <w:basedOn w:val="DefaultParagraphFont"/>
    <w:uiPriority w:val="32"/>
    <w:qFormat/>
    <w:rsid w:val="00E52C21"/>
    <w:rPr>
      <w:b/>
      <w:bCs/>
      <w:smallCaps/>
      <w:color w:val="auto"/>
      <w:spacing w:val="5"/>
      <w:u w:val="single"/>
    </w:rPr>
  </w:style>
  <w:style w:type="paragraph" w:customStyle="1" w:styleId="2ColumnHeading">
    <w:name w:val="2Column Heading"/>
    <w:basedOn w:val="BodyText"/>
    <w:qFormat/>
    <w:rsid w:val="00E52C21"/>
    <w:pPr>
      <w:spacing w:after="60"/>
      <w:ind w:left="-2268"/>
    </w:pPr>
    <w:rPr>
      <w:b/>
    </w:rPr>
  </w:style>
  <w:style w:type="paragraph" w:customStyle="1" w:styleId="Heading1TOC">
    <w:name w:val="Heading1 TOC"/>
    <w:basedOn w:val="Normal"/>
    <w:qFormat/>
    <w:rsid w:val="00E52C21"/>
    <w:pPr>
      <w:spacing w:before="240" w:after="120"/>
    </w:pPr>
    <w:rPr>
      <w:rFonts w:ascii="Times New Roman" w:hAnsi="Times New Roman"/>
      <w:b/>
      <w:sz w:val="32"/>
    </w:rPr>
  </w:style>
  <w:style w:type="paragraph" w:customStyle="1" w:styleId="Heading2TOC">
    <w:name w:val="Heading2 TOC"/>
    <w:basedOn w:val="Normal"/>
    <w:qFormat/>
    <w:rsid w:val="00E52C21"/>
    <w:pPr>
      <w:spacing w:before="240" w:after="60"/>
    </w:pPr>
    <w:rPr>
      <w:rFonts w:ascii="Times New Roman" w:hAnsi="Times New Roman"/>
      <w:b/>
      <w:sz w:val="28"/>
    </w:rPr>
  </w:style>
  <w:style w:type="character" w:customStyle="1" w:styleId="Underline">
    <w:name w:val="Underline"/>
    <w:basedOn w:val="DefaultParagraphFont"/>
    <w:qFormat/>
    <w:rsid w:val="00E52C21"/>
    <w:rPr>
      <w:u w:val="single"/>
    </w:rPr>
  </w:style>
  <w:style w:type="character" w:customStyle="1" w:styleId="BoldandItalics">
    <w:name w:val="Bold and Italics"/>
    <w:qFormat/>
    <w:rsid w:val="00E52C21"/>
    <w:rPr>
      <w:b/>
      <w:i/>
      <w:u w:val="none"/>
    </w:rPr>
  </w:style>
  <w:style w:type="paragraph" w:styleId="BalloonText">
    <w:name w:val="Balloon Text"/>
    <w:basedOn w:val="Normal"/>
    <w:link w:val="BalloonTextChar"/>
    <w:rsid w:val="00E52C21"/>
    <w:rPr>
      <w:rFonts w:ascii="Tahoma" w:hAnsi="Tahoma" w:cs="Tahoma"/>
      <w:sz w:val="16"/>
      <w:szCs w:val="16"/>
    </w:rPr>
  </w:style>
  <w:style w:type="character" w:customStyle="1" w:styleId="BalloonTextChar">
    <w:name w:val="Balloon Text Char"/>
    <w:basedOn w:val="DefaultParagraphFont"/>
    <w:link w:val="BalloonText"/>
    <w:rsid w:val="00E52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C21"/>
    <w:rPr>
      <w:b/>
      <w:color w:val="660033"/>
      <w:spacing w:val="0"/>
    </w:rPr>
  </w:style>
  <w:style w:type="paragraph" w:customStyle="1" w:styleId="Nameditemlist">
    <w:name w:val="Named item list"/>
    <w:basedOn w:val="BodyText"/>
    <w:qFormat/>
    <w:rsid w:val="00E52C21"/>
    <w:pPr>
      <w:tabs>
        <w:tab w:val="left" w:pos="2835"/>
      </w:tabs>
      <w:ind w:left="2835" w:hanging="2835"/>
    </w:pPr>
  </w:style>
  <w:style w:type="paragraph" w:customStyle="1" w:styleId="BodyTextnopadding">
    <w:name w:val="Body Text no padding"/>
    <w:basedOn w:val="BodyText"/>
    <w:qFormat/>
    <w:rsid w:val="00E52C21"/>
    <w:pPr>
      <w:spacing w:before="0" w:after="0"/>
    </w:pPr>
  </w:style>
  <w:style w:type="paragraph" w:customStyle="1" w:styleId="BodyTextBold">
    <w:name w:val="Body Text Bold"/>
    <w:basedOn w:val="BodyText"/>
    <w:qFormat/>
    <w:rsid w:val="00E52C21"/>
    <w:rPr>
      <w:b/>
    </w:rPr>
  </w:style>
  <w:style w:type="character" w:styleId="Hyperlink">
    <w:name w:val="Hyperlink"/>
    <w:basedOn w:val="DefaultParagraphFont"/>
    <w:uiPriority w:val="99"/>
    <w:unhideWhenUsed/>
    <w:rsid w:val="00387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4859</Characters>
  <Application>Microsoft Office Word</Application>
  <DocSecurity>0</DocSecurity>
  <Lines>124</Lines>
  <Paragraphs>95</Paragraphs>
  <ScaleCrop>false</ScaleCrop>
  <Company>Author-it Software Corporation Ltd.</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UEERA0095 Recover refrigerant from stationary self-contained end of life decommissioned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