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814" w:rsidP="00B458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UEERA0068 Repair and service self-contained carbon dioxide refrigeration and heat pump systems</w:t>
      </w:r>
      <w:r>
        <w:fldChar w:fldCharType="end"/>
      </w:r>
    </w:p>
    <w:p w:rsidR="00B45814" w:rsidP="00B45814">
      <w:pPr>
        <w:pStyle w:val="Version"/>
        <w:sectPr w:rsidSect="006B6C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C70" w:rsidP="006B6C70">
      <w:pPr>
        <w:pStyle w:val="SuperHeading"/>
      </w:pPr>
      <w:r w:rsidRPr="006B6C70">
        <w:t>Assessment Requirements for UEERA0068 Repair and service self-contained carbon dioxide refrigeration and heat pump systems</w:t>
      </w:r>
    </w:p>
    <w:p w:rsidR="00000000" w:rsidRPr="006B6C70" w:rsidP="006B6C70">
      <w:pPr>
        <w:pStyle w:val="Heading1"/>
      </w:pPr>
      <w:bookmarkStart w:id="1" w:name="O_1078707"/>
      <w:bookmarkEnd w:id="1"/>
      <w:r w:rsidRPr="006B6C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C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C70" w:rsidP="006B6C70">
            <w:pPr>
              <w:pStyle w:val="BodyText"/>
            </w:pPr>
            <w:r w:rsidRPr="006B6C70">
              <w:t>Release 1. This is the first release of this unit of competency in the UEE Electrotechnology Training Package.</w:t>
            </w:r>
          </w:p>
        </w:tc>
      </w:tr>
    </w:tbl>
    <w:p w:rsidR="00000000" w:rsidRPr="006B6C70" w:rsidP="006B6C70">
      <w:pPr>
        <w:pStyle w:val="NoPaddingFontSize1"/>
      </w:pPr>
    </w:p>
    <w:p w:rsidR="00000000" w:rsidRPr="006B6C70" w:rsidP="006B6C70">
      <w:pPr>
        <w:pStyle w:val="AllowPageBreak"/>
      </w:pPr>
    </w:p>
    <w:p w:rsidR="00000000" w:rsidRPr="006B6C70" w:rsidP="006B6C70">
      <w:pPr>
        <w:pStyle w:val="Heading1"/>
      </w:pPr>
      <w:bookmarkStart w:id="2" w:name="O_1078708"/>
      <w:bookmarkEnd w:id="2"/>
      <w:r w:rsidRPr="006B6C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C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70">
            <w:pPr>
              <w:pStyle w:val="BodyText"/>
              <w:rPr>
                <w:lang w:val="en-NZ"/>
              </w:rPr>
            </w:pPr>
            <w:r w:rsidRPr="006B6C70">
              <w:t>Evidence required to demonstrate competence in this unit must be relevant to and satisfy all of the req</w:t>
            </w:r>
            <w:r w:rsidRPr="006B6C70">
              <w:t xml:space="preserve">uirements of the elements, performance criteria and range of conditions on at least two separate occasions and include: </w:t>
            </w:r>
          </w:p>
        </w:tc>
      </w:tr>
      <w:tr w:rsidTr="006B6C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C70" w:rsidP="006B6C70">
            <w:pPr>
              <w:pStyle w:val="ListBullet"/>
            </w:pPr>
            <w:r w:rsidRPr="006B6C70">
              <w:t>applying relevant legislation, industry standards and practices</w:t>
            </w:r>
          </w:p>
          <w:p w:rsidR="00000000" w:rsidRPr="006B6C70" w:rsidP="006B6C70">
            <w:pPr>
              <w:pStyle w:val="ListBullet"/>
            </w:pPr>
            <w:r w:rsidRPr="006B6C70">
              <w:t>applying relevant work health and safety (WHS)/occupational health an</w:t>
            </w:r>
            <w:r w:rsidRPr="006B6C70">
              <w:t>d safety (WHS/OHS) requirements and workplace procedures and practices, including using risk control measures</w:t>
            </w:r>
          </w:p>
          <w:p w:rsidR="00000000" w:rsidRPr="006B6C70" w:rsidP="006B6C70">
            <w:pPr>
              <w:pStyle w:val="ListBullet"/>
            </w:pPr>
            <w:r w:rsidRPr="006B6C70">
              <w:t>applying sustainable energy principles and practices</w:t>
            </w:r>
          </w:p>
          <w:p w:rsidR="00000000" w:rsidRPr="006B6C70" w:rsidP="006B6C70">
            <w:pPr>
              <w:pStyle w:val="ListBullet"/>
            </w:pPr>
            <w:r w:rsidRPr="006B6C70">
              <w:t xml:space="preserve">dealing with unplanned events/situations in accordance with workplace procedures in a manner </w:t>
            </w:r>
            <w:r w:rsidRPr="006B6C70">
              <w:t>that minimises risk to personnel and equipment</w:t>
            </w:r>
          </w:p>
          <w:p w:rsidR="00000000" w:rsidRPr="006B6C70" w:rsidP="006B6C70">
            <w:pPr>
              <w:pStyle w:val="ListBullet"/>
            </w:pPr>
            <w:r w:rsidRPr="006B6C70">
              <w:t>discharging/charging refrigerant/lubricants and pressure testing the system without damage to components</w:t>
            </w:r>
          </w:p>
          <w:p w:rsidR="00000000" w:rsidRPr="006B6C70" w:rsidP="006B6C70">
            <w:pPr>
              <w:pStyle w:val="ListBullet"/>
            </w:pPr>
            <w:r w:rsidRPr="006B6C70">
              <w:t>documenting operating conditions correctly</w:t>
            </w:r>
          </w:p>
          <w:p w:rsidR="00000000" w:rsidRPr="006B6C70" w:rsidP="006B6C70">
            <w:pPr>
              <w:pStyle w:val="ListBullet"/>
            </w:pPr>
            <w:r w:rsidRPr="006B6C70">
              <w:t>identifying the conditions of the carbon dioxide (CO²</w:t>
            </w:r>
            <w:r w:rsidRPr="006B6C70">
              <w:t>) refrigerant at various locations in the vapour compression system in a trans-critical and sub-critical state</w:t>
            </w:r>
          </w:p>
          <w:p w:rsidR="00000000" w:rsidRPr="006B6C70" w:rsidP="006B6C70">
            <w:pPr>
              <w:pStyle w:val="ListBullet"/>
            </w:pPr>
            <w:r w:rsidRPr="006B6C70">
              <w:t>locating and rectifying leaks</w:t>
            </w:r>
          </w:p>
          <w:p w:rsidR="00000000" w:rsidRPr="006B6C70" w:rsidP="006B6C70">
            <w:pPr>
              <w:pStyle w:val="ListBullet"/>
            </w:pPr>
            <w:r w:rsidRPr="006B6C70">
              <w:t xml:space="preserve">pressure testing, evacuating, charging/discharging refrigerant/lubricants and determining the operating conditions </w:t>
            </w:r>
            <w:r w:rsidRPr="006B6C70">
              <w:t xml:space="preserve">of CO² vapour compression systems </w:t>
            </w:r>
          </w:p>
          <w:p w:rsidR="00000000" w:rsidRPr="006B6C70" w:rsidP="006B6C70">
            <w:pPr>
              <w:pStyle w:val="ListBullet"/>
            </w:pPr>
            <w:r w:rsidRPr="006B6C70">
              <w:t>recording measurements</w:t>
            </w:r>
          </w:p>
          <w:p w:rsidR="00000000" w:rsidRPr="006B6C70" w:rsidP="006B6C70">
            <w:pPr>
              <w:pStyle w:val="ListBullet"/>
            </w:pPr>
            <w:r w:rsidRPr="006B6C70">
              <w:t>selecting and using appropriate measuring devices correctly</w:t>
            </w:r>
          </w:p>
          <w:p w:rsidR="00000000" w:rsidRPr="006B6C70" w:rsidP="006B6C70">
            <w:pPr>
              <w:pStyle w:val="ListBullet"/>
            </w:pPr>
            <w:r w:rsidRPr="006B6C70">
              <w:t>using calculation methods accurately.</w:t>
            </w:r>
          </w:p>
        </w:tc>
      </w:tr>
    </w:tbl>
    <w:p w:rsidR="00000000" w:rsidRPr="006B6C70" w:rsidP="006B6C70">
      <w:pPr>
        <w:pStyle w:val="NoPaddingFontSize1"/>
      </w:pPr>
    </w:p>
    <w:p w:rsidR="00000000" w:rsidRPr="006B6C70" w:rsidP="006B6C70">
      <w:pPr>
        <w:pStyle w:val="AllowPageBreak"/>
      </w:pPr>
    </w:p>
    <w:p w:rsidR="00000000" w:rsidRPr="006B6C70" w:rsidP="006B6C70">
      <w:pPr>
        <w:pStyle w:val="Heading1"/>
      </w:pPr>
      <w:bookmarkStart w:id="3" w:name="O_1078709"/>
      <w:bookmarkEnd w:id="3"/>
      <w:r w:rsidRPr="006B6C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C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C70">
            <w:pPr>
              <w:pStyle w:val="BodyText"/>
              <w:rPr>
                <w:lang w:val="en-NZ"/>
              </w:rPr>
            </w:pPr>
            <w:r w:rsidRPr="006B6C70">
              <w:t>Evidence required to demonstrate competence in this unit mus</w:t>
            </w:r>
            <w:r w:rsidRPr="006B6C70">
              <w:t xml:space="preserve">t be relevant to and satisfy all of the requirements of the elements, performance criteria and range of conditions and include knowledge of: </w:t>
            </w:r>
          </w:p>
        </w:tc>
      </w:tr>
      <w:tr w:rsidTr="006B6C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C70" w:rsidP="006B6C70">
            <w:pPr>
              <w:pStyle w:val="ListBullet"/>
            </w:pPr>
            <w:r w:rsidRPr="006B6C70">
              <w:t>CO² refrigeration compressors and lubricants, including:</w:t>
            </w:r>
          </w:p>
          <w:p w:rsidR="00000000" w:rsidRPr="006B6C70" w:rsidP="006B6C70">
            <w:pPr>
              <w:pStyle w:val="ListBullet2"/>
            </w:pPr>
            <w:r w:rsidRPr="006B6C70">
              <w:t>types, construction and their applications</w:t>
            </w:r>
          </w:p>
          <w:p w:rsidR="00000000" w:rsidRPr="006B6C70" w:rsidP="006B6C70">
            <w:pPr>
              <w:pStyle w:val="ListBullet2"/>
            </w:pPr>
            <w:r w:rsidRPr="006B6C70">
              <w:t>types of compatible compressor oil (Polyolester (POE) and Polyaphalefin (PAO))</w:t>
            </w:r>
          </w:p>
          <w:p w:rsidR="00000000" w:rsidRPr="006B6C70" w:rsidP="006B6C70">
            <w:pPr>
              <w:pStyle w:val="ListBullet2"/>
            </w:pPr>
            <w:r w:rsidRPr="006B6C70">
              <w:t xml:space="preserve">safe handling of lubricants for CO² applications using safety data sheets (SDS)/material </w:t>
            </w:r>
            <w:r w:rsidRPr="006B6C70">
              <w:t>safety data sheets (MSDS)</w:t>
            </w:r>
          </w:p>
          <w:p w:rsidR="00000000" w:rsidRPr="006B6C70" w:rsidP="006B6C70">
            <w:pPr>
              <w:pStyle w:val="ListBullet"/>
            </w:pPr>
            <w:r w:rsidRPr="006B6C70">
              <w:t xml:space="preserve">cylinder regulators </w:t>
            </w:r>
          </w:p>
          <w:p w:rsidR="00000000" w:rsidRPr="006B6C70" w:rsidP="006B6C70">
            <w:pPr>
              <w:pStyle w:val="ListBullet"/>
            </w:pPr>
            <w:r w:rsidRPr="006B6C70">
              <w:t xml:space="preserve">moisture problems with CO² systems </w:t>
            </w:r>
          </w:p>
          <w:p w:rsidR="00000000" w:rsidRPr="006B6C70" w:rsidP="006B6C70">
            <w:pPr>
              <w:pStyle w:val="ListBullet"/>
            </w:pPr>
            <w:r w:rsidRPr="006B6C70">
              <w:t>refr</w:t>
            </w:r>
            <w:r w:rsidRPr="006B6C70">
              <w:t>igerant CO² cylinders and regulators</w:t>
            </w:r>
          </w:p>
          <w:p w:rsidR="00000000" w:rsidRPr="006B6C70" w:rsidP="006B6C70">
            <w:pPr>
              <w:pStyle w:val="ListBullet"/>
            </w:pPr>
            <w:r w:rsidRPr="006B6C70">
              <w:t>refrigerant conditions</w:t>
            </w:r>
          </w:p>
          <w:p w:rsidR="00000000" w:rsidRPr="006B6C70" w:rsidP="006B6C70">
            <w:pPr>
              <w:pStyle w:val="ListBullet"/>
            </w:pPr>
            <w:r w:rsidRPr="006B6C70">
              <w:t>refrigeration principles</w:t>
            </w:r>
          </w:p>
          <w:p w:rsidR="00000000" w:rsidRPr="006B6C70" w:rsidP="006B6C70">
            <w:pPr>
              <w:pStyle w:val="ListBullet"/>
            </w:pPr>
            <w:r w:rsidRPr="006B6C70">
              <w:t xml:space="preserve">relevant industry standards, codes and practices </w:t>
            </w:r>
          </w:p>
          <w:p w:rsidR="00000000" w:rsidRPr="006B6C70" w:rsidP="006B6C70">
            <w:pPr>
              <w:pStyle w:val="ListBullet"/>
            </w:pPr>
            <w:r w:rsidRPr="006B6C70">
              <w:t>relevant job safety assessments or risk mitigation processes, including hazards associated with CO²</w:t>
            </w:r>
          </w:p>
          <w:p w:rsidR="00000000" w:rsidRPr="006B6C70" w:rsidP="006B6C70">
            <w:pPr>
              <w:pStyle w:val="ListBullet"/>
            </w:pPr>
            <w:r w:rsidRPr="006B6C70">
              <w:t>relevant manufacturer</w:t>
            </w:r>
            <w:r w:rsidRPr="006B6C70">
              <w:t xml:space="preserve"> specifications</w:t>
            </w:r>
          </w:p>
          <w:p w:rsidR="00000000" w:rsidRPr="006B6C70" w:rsidP="006B6C70">
            <w:pPr>
              <w:pStyle w:val="ListBullet"/>
            </w:pPr>
            <w:r w:rsidRPr="006B6C70">
              <w:t>relevant WHS/OHS legislated requirements</w:t>
            </w:r>
          </w:p>
          <w:p w:rsidR="00000000" w:rsidRPr="006B6C70" w:rsidP="006B6C70">
            <w:pPr>
              <w:pStyle w:val="ListBullet"/>
            </w:pPr>
            <w:r w:rsidRPr="006B6C70">
              <w:t>relevant workplace documentation, including service manuals and service documentation</w:t>
            </w:r>
          </w:p>
          <w:p w:rsidR="00000000" w:rsidRPr="006B6C70" w:rsidP="006B6C70">
            <w:pPr>
              <w:pStyle w:val="ListBullet"/>
            </w:pPr>
            <w:r w:rsidRPr="006B6C70">
              <w:t>relevant workplace policies and procedures</w:t>
            </w:r>
          </w:p>
          <w:p w:rsidR="00000000" w:rsidRPr="006B6C70" w:rsidP="006B6C70">
            <w:pPr>
              <w:pStyle w:val="ListBullet"/>
            </w:pPr>
            <w:r w:rsidRPr="006B6C70">
              <w:t>self-contained systems employing CO² refrigerant at trans-critical con</w:t>
            </w:r>
            <w:r w:rsidRPr="006B6C70">
              <w:t>dition, including:</w:t>
            </w:r>
          </w:p>
          <w:p w:rsidR="00000000" w:rsidRPr="006B6C70" w:rsidP="006B6C70">
            <w:pPr>
              <w:pStyle w:val="ListBullet2"/>
            </w:pPr>
            <w:r w:rsidRPr="006B6C70">
              <w:t>basic operation</w:t>
            </w:r>
          </w:p>
          <w:p w:rsidR="00000000" w:rsidRPr="006B6C70" w:rsidP="006B6C70">
            <w:pPr>
              <w:pStyle w:val="ListBullet2"/>
            </w:pPr>
            <w:r w:rsidRPr="006B6C70">
              <w:t>domestic refrigerators and freezers</w:t>
            </w:r>
          </w:p>
          <w:p w:rsidR="00000000" w:rsidRPr="006B6C70" w:rsidP="006B6C70">
            <w:pPr>
              <w:pStyle w:val="ListBullet2"/>
            </w:pPr>
            <w:r w:rsidRPr="006B6C70">
              <w:t xml:space="preserve">heat pumps </w:t>
            </w:r>
          </w:p>
          <w:p w:rsidR="00000000" w:rsidRPr="006B6C70" w:rsidP="006B6C70">
            <w:pPr>
              <w:pStyle w:val="ListBullet2"/>
            </w:pPr>
            <w:r w:rsidRPr="006B6C70">
              <w:t>water heaters</w:t>
            </w:r>
          </w:p>
          <w:p w:rsidR="00000000" w:rsidRPr="006B6C70" w:rsidP="006B6C70">
            <w:pPr>
              <w:pStyle w:val="ListBullet2"/>
            </w:pPr>
            <w:r w:rsidRPr="006B6C70">
              <w:t>refrigerated cabinets</w:t>
            </w:r>
          </w:p>
          <w:p w:rsidR="00000000" w:rsidRPr="006B6C70" w:rsidP="006B6C70">
            <w:pPr>
              <w:pStyle w:val="ListBullet2"/>
            </w:pPr>
            <w:r w:rsidRPr="006B6C70">
              <w:t>systems and major components</w:t>
            </w:r>
          </w:p>
          <w:p w:rsidR="00000000" w:rsidRPr="006B6C70" w:rsidP="006B6C70">
            <w:pPr>
              <w:pStyle w:val="ListBullet2"/>
            </w:pPr>
            <w:r w:rsidRPr="006B6C70">
              <w:t>typical applications</w:t>
            </w:r>
          </w:p>
          <w:p w:rsidR="00000000" w:rsidRPr="006B6C70" w:rsidP="006B6C70">
            <w:pPr>
              <w:pStyle w:val="ListBullet"/>
            </w:pPr>
            <w:r w:rsidRPr="006B6C70">
              <w:t>service gauges</w:t>
            </w:r>
          </w:p>
          <w:p w:rsidR="00000000" w:rsidRPr="006B6C70" w:rsidP="006B6C70">
            <w:pPr>
              <w:pStyle w:val="ListBullet"/>
            </w:pPr>
            <w:r w:rsidRPr="006B6C70">
              <w:t>service procedures</w:t>
            </w:r>
          </w:p>
          <w:p w:rsidR="00000000" w:rsidRPr="006B6C70" w:rsidP="006B6C70">
            <w:pPr>
              <w:pStyle w:val="ListBullet"/>
            </w:pPr>
            <w:r w:rsidRPr="006B6C70">
              <w:t>CO² refrigerant, including:</w:t>
            </w:r>
          </w:p>
          <w:p w:rsidR="00000000" w:rsidRPr="006B6C70" w:rsidP="006B6C70">
            <w:pPr>
              <w:pStyle w:val="ListBullet2"/>
            </w:pPr>
            <w:r w:rsidRPr="006B6C70">
              <w:t>benefits of using CO²</w:t>
            </w:r>
            <w:r w:rsidRPr="006B6C70">
              <w:t xml:space="preserve"> as a refrigerant</w:t>
            </w:r>
          </w:p>
          <w:p w:rsidR="00000000" w:rsidRPr="006B6C70" w:rsidP="006B6C70">
            <w:pPr>
              <w:pStyle w:val="ListBullet2"/>
            </w:pPr>
            <w:r w:rsidRPr="006B6C70">
              <w:t>thermophysical properties</w:t>
            </w:r>
          </w:p>
          <w:p w:rsidR="00000000" w:rsidRPr="006B6C70" w:rsidP="006B6C70">
            <w:pPr>
              <w:pStyle w:val="ListBullet"/>
            </w:pPr>
            <w:r w:rsidRPr="006B6C70">
              <w:t>servicing tools, equipment and safe working procedures, including:</w:t>
            </w:r>
          </w:p>
          <w:p w:rsidR="00000000" w:rsidRPr="006B6C70" w:rsidP="006B6C70">
            <w:pPr>
              <w:pStyle w:val="ListBullet2"/>
            </w:pPr>
            <w:r w:rsidRPr="006B6C70">
              <w:t xml:space="preserve">cylinder regulators </w:t>
            </w:r>
          </w:p>
          <w:p w:rsidR="00000000" w:rsidRPr="006B6C70" w:rsidP="006B6C70">
            <w:pPr>
              <w:pStyle w:val="ListBullet2"/>
            </w:pPr>
            <w:r w:rsidRPr="006B6C70">
              <w:t xml:space="preserve">moisture problems with CO² systems  </w:t>
            </w:r>
          </w:p>
          <w:p w:rsidR="00000000" w:rsidRPr="006B6C70" w:rsidP="006B6C70">
            <w:pPr>
              <w:pStyle w:val="ListBullet2"/>
            </w:pPr>
            <w:r w:rsidRPr="006B6C70">
              <w:t>refrigerant CO² cylinders and regulators</w:t>
            </w:r>
          </w:p>
          <w:p w:rsidR="00000000" w:rsidRPr="006B6C70" w:rsidP="006B6C70">
            <w:pPr>
              <w:pStyle w:val="ListBullet2"/>
            </w:pPr>
            <w:r w:rsidRPr="006B6C70">
              <w:t>refrigerant conditions</w:t>
            </w:r>
          </w:p>
          <w:p w:rsidR="00000000" w:rsidRPr="006B6C70" w:rsidP="006B6C70">
            <w:pPr>
              <w:pStyle w:val="ListBullet2"/>
            </w:pPr>
            <w:r w:rsidRPr="006B6C70">
              <w:t>service gauges</w:t>
            </w:r>
          </w:p>
          <w:p w:rsidR="00000000" w:rsidRPr="006B6C70" w:rsidP="006B6C70">
            <w:pPr>
              <w:pStyle w:val="ListBullet2"/>
            </w:pPr>
            <w:r w:rsidRPr="006B6C70">
              <w:t>service procedures</w:t>
            </w:r>
          </w:p>
          <w:p w:rsidR="00000000" w:rsidRPr="006B6C70" w:rsidP="006B6C70">
            <w:pPr>
              <w:pStyle w:val="ListBullet2"/>
            </w:pPr>
            <w:r w:rsidRPr="006B6C70">
              <w:t>system standing pressure as a result of power loss</w:t>
            </w:r>
          </w:p>
          <w:p w:rsidR="00000000" w:rsidRPr="006B6C70" w:rsidP="006B6C70">
            <w:pPr>
              <w:pStyle w:val="ListBullet"/>
            </w:pPr>
            <w:r w:rsidRPr="006B6C70">
              <w:t>system components, construction and operation, including:</w:t>
            </w:r>
          </w:p>
          <w:p w:rsidR="00000000" w:rsidRPr="006B6C70" w:rsidP="006B6C70">
            <w:pPr>
              <w:pStyle w:val="ListBullet2"/>
            </w:pPr>
            <w:r w:rsidRPr="006B6C70">
              <w:t>capillary tubes and accurators</w:t>
            </w:r>
          </w:p>
          <w:p w:rsidR="00000000" w:rsidRPr="006B6C70" w:rsidP="006B6C70">
            <w:pPr>
              <w:pStyle w:val="ListBullet2"/>
            </w:pPr>
            <w:r w:rsidRPr="006B6C70">
              <w:t>CO² evaporator design features</w:t>
            </w:r>
          </w:p>
          <w:p w:rsidR="00000000" w:rsidRPr="006B6C70" w:rsidP="006B6C70">
            <w:pPr>
              <w:pStyle w:val="ListBullet2"/>
            </w:pPr>
            <w:r w:rsidRPr="006B6C70">
              <w:t>CO² sub-cooler design features</w:t>
            </w:r>
          </w:p>
          <w:p w:rsidR="00000000" w:rsidRPr="006B6C70" w:rsidP="006B6C70">
            <w:pPr>
              <w:pStyle w:val="ListBullet2"/>
            </w:pPr>
            <w:r w:rsidRPr="006B6C70">
              <w:t>electronic expansion valves</w:t>
            </w:r>
          </w:p>
          <w:p w:rsidR="00000000" w:rsidRPr="006B6C70" w:rsidP="006B6C70">
            <w:pPr>
              <w:pStyle w:val="ListBullet2"/>
            </w:pPr>
            <w:r w:rsidRPr="006B6C70">
              <w:t>liqui</w:t>
            </w:r>
            <w:r w:rsidRPr="006B6C70">
              <w:t>d-suction heat exchangers</w:t>
            </w:r>
          </w:p>
          <w:p w:rsidR="00000000" w:rsidRPr="006B6C70" w:rsidP="006B6C70">
            <w:pPr>
              <w:pStyle w:val="ListBullet2"/>
            </w:pPr>
            <w:r w:rsidRPr="006B6C70">
              <w:t>pressure relief devices</w:t>
            </w:r>
          </w:p>
          <w:p w:rsidR="00000000" w:rsidRPr="006B6C70" w:rsidP="006B6C70">
            <w:pPr>
              <w:pStyle w:val="ListBullet2"/>
            </w:pPr>
            <w:r w:rsidRPr="006B6C70">
              <w:t>refrigerant flow controls</w:t>
            </w:r>
          </w:p>
          <w:p w:rsidR="00000000" w:rsidRPr="006B6C70" w:rsidP="006B6C70">
            <w:pPr>
              <w:pStyle w:val="ListBullet"/>
            </w:pPr>
            <w:r w:rsidRPr="006B6C70">
              <w:t>system standing pressure as a result of power loss.</w:t>
            </w:r>
          </w:p>
          <w:p w:rsidR="00000000" w:rsidRPr="006B6C70" w:rsidP="006B6C70">
            <w:pPr>
              <w:pStyle w:val="ListBullet"/>
            </w:pPr>
            <w:r w:rsidRPr="006B6C70">
              <w:t>trans-critical CO² refrigeration and heat pump systems.</w:t>
            </w:r>
          </w:p>
        </w:tc>
      </w:tr>
    </w:tbl>
    <w:p w:rsidR="00000000" w:rsidRPr="006B6C70" w:rsidP="006B6C70">
      <w:pPr>
        <w:pStyle w:val="NoPaddingFontSize1"/>
      </w:pPr>
    </w:p>
    <w:p w:rsidR="00000000" w:rsidRPr="006B6C70" w:rsidP="006B6C70">
      <w:pPr>
        <w:pStyle w:val="AllowPageBreak"/>
      </w:pPr>
    </w:p>
    <w:p w:rsidR="00000000" w:rsidRPr="006B6C70" w:rsidP="006B6C70">
      <w:pPr>
        <w:pStyle w:val="Heading1"/>
      </w:pPr>
      <w:bookmarkStart w:id="4" w:name="O_1078710"/>
      <w:bookmarkEnd w:id="4"/>
      <w:r w:rsidRPr="006B6C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6C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C70" w:rsidP="006B6C70">
            <w:pPr>
              <w:pStyle w:val="BodyText"/>
            </w:pPr>
            <w:r w:rsidRPr="006B6C70">
              <w:t xml:space="preserve">Assessors must hold credentials specified within the Standards for Registered Training Organisations current at the time of assessment. </w:t>
            </w:r>
          </w:p>
          <w:p w:rsidR="00000000" w:rsidRPr="006B6C70" w:rsidP="006B6C70">
            <w:pPr>
              <w:pStyle w:val="BodyText"/>
            </w:pPr>
            <w:r w:rsidRPr="006B6C7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B6C70" w:rsidP="006B6C70">
            <w:pPr>
              <w:pStyle w:val="BodyText"/>
            </w:pPr>
            <w:r w:rsidRPr="006B6C70">
              <w:t>Assessment must occur in suitable workplace op</w:t>
            </w:r>
            <w:r w:rsidRPr="006B6C70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6B6C70" w:rsidP="006B6C70">
            <w:pPr>
              <w:pStyle w:val="BodyText"/>
            </w:pPr>
            <w:r w:rsidRPr="006B6C70">
              <w:t xml:space="preserve">Assessment processes and techniques must be appropriate </w:t>
            </w:r>
            <w:r w:rsidRPr="006B6C70">
              <w:t>to the language, literacy and numeracy requirements of the work being performed and the needs of the candidate.</w:t>
            </w:r>
          </w:p>
          <w:p w:rsidR="00000000" w:rsidRPr="006B6C70" w:rsidP="006B6C70">
            <w:pPr>
              <w:pStyle w:val="BodyText"/>
            </w:pPr>
            <w:r w:rsidRPr="006B6C70">
              <w:t>Resources for assessment must include access to:</w:t>
            </w:r>
          </w:p>
          <w:p w:rsidR="00000000" w:rsidRPr="006B6C70" w:rsidP="006B6C70">
            <w:pPr>
              <w:pStyle w:val="ListBullet"/>
            </w:pPr>
            <w:r w:rsidRPr="006B6C70">
              <w:t>a range of relevant exercises, case studies and/or other simulations</w:t>
            </w:r>
          </w:p>
          <w:p w:rsidR="00000000" w:rsidRPr="006B6C70" w:rsidP="006B6C70">
            <w:pPr>
              <w:pStyle w:val="ListBullet"/>
            </w:pPr>
            <w:r w:rsidRPr="006B6C70">
              <w:t xml:space="preserve">relevant and appropriate </w:t>
            </w:r>
            <w:r w:rsidRPr="006B6C70">
              <w:t xml:space="preserve">materials, tools, facilities, equipment and personal protective equipment (PPE) currently used in industry </w:t>
            </w:r>
          </w:p>
          <w:p w:rsidR="00000000" w:rsidRPr="006B6C70" w:rsidP="006B6C70">
            <w:pPr>
              <w:pStyle w:val="ListBullet"/>
            </w:pPr>
            <w:r w:rsidRPr="006B6C70">
              <w:t>resources that reflect current industry practices in relation to servicing, repairing and determining the operating conditions of CO² vapour compres</w:t>
            </w:r>
            <w:r w:rsidRPr="006B6C70">
              <w:t>sion and liquid recirculation/cascade systems</w:t>
            </w:r>
          </w:p>
          <w:p w:rsidR="00000000" w:rsidRPr="006B6C70" w:rsidP="006B6C70">
            <w:pPr>
              <w:pStyle w:val="ListBullet"/>
            </w:pPr>
            <w:r w:rsidRPr="006B6C70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B6C70" w:rsidP="006B6C70">
      <w:pPr>
        <w:pStyle w:val="NoPaddingFontSize1"/>
      </w:pPr>
    </w:p>
    <w:p w:rsidR="00000000" w:rsidRPr="006B6C70" w:rsidP="006B6C70">
      <w:pPr>
        <w:pStyle w:val="AllowPageBreak"/>
      </w:pPr>
    </w:p>
    <w:p w:rsidR="00000000" w:rsidRPr="006B6C70" w:rsidP="006B6C70">
      <w:pPr>
        <w:pStyle w:val="Heading1"/>
      </w:pPr>
      <w:bookmarkStart w:id="5" w:name="O_1078713"/>
      <w:bookmarkEnd w:id="5"/>
      <w:r w:rsidRPr="006B6C70">
        <w:t>Links</w:t>
      </w:r>
    </w:p>
    <w:p w:rsidR="00000000" w:rsidRPr="006B6C70" w:rsidP="00B45814">
      <w:pPr>
        <w:pStyle w:val="BodyText"/>
      </w:pPr>
      <w:r w:rsidRPr="006B6C70">
        <w:t>Companion Volume implementation guides are fo</w:t>
      </w:r>
      <w:r w:rsidRPr="006B6C70">
        <w:t xml:space="preserve">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60A0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B6C70" w:rsidP="006B6C70"/>
    <w:sectPr w:rsidSect="006B6C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70" w:rsidRPr="00B45814" w:rsidP="00B458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814" w:rsidP="006B6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5814" w:rsidP="006B6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45814" w:rsidP="006B6C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8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C70" w:rsidRPr="00B45814" w:rsidP="00B458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814" w:rsidRPr="002D2AF8" w:rsidP="006B6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UEERA0068 Repair and service self-contained carbon dioxide refrigeration and heat pump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45814" w:rsidP="006B6C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F82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C8B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4672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C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C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C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C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C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C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C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C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C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C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C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C70"/>
  </w:style>
  <w:style w:type="character" w:customStyle="1" w:styleId="Heading1Char">
    <w:name w:val="Heading 1 Char"/>
    <w:basedOn w:val="DefaultParagraphFont"/>
    <w:link w:val="Heading1"/>
    <w:rsid w:val="006B6C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C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C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6C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6C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6C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C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6C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C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C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C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C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C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C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C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C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C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C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C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C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C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C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6C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6C70"/>
    <w:rPr>
      <w:b/>
      <w:spacing w:val="0"/>
    </w:rPr>
  </w:style>
  <w:style w:type="paragraph" w:customStyle="1" w:styleId="SuperTitle">
    <w:name w:val="SuperTitle"/>
    <w:basedOn w:val="Title"/>
    <w:rsid w:val="006B6C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C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C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6C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C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C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C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C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C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C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C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C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C70"/>
    <w:rPr>
      <w:i/>
    </w:rPr>
  </w:style>
  <w:style w:type="paragraph" w:styleId="Caption">
    <w:name w:val="caption"/>
    <w:basedOn w:val="BodyText"/>
    <w:next w:val="Normal"/>
    <w:qFormat/>
    <w:rsid w:val="006B6C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C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C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C70"/>
  </w:style>
  <w:style w:type="paragraph" w:styleId="TableofFigures">
    <w:name w:val="table of figures"/>
    <w:basedOn w:val="Normal"/>
    <w:next w:val="Normal"/>
    <w:semiHidden/>
    <w:rsid w:val="006B6C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C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6C70"/>
    <w:rPr>
      <w:rFonts w:ascii="Wingdings" w:hAnsi="Wingdings"/>
    </w:rPr>
  </w:style>
  <w:style w:type="paragraph" w:customStyle="1" w:styleId="TableHeading">
    <w:name w:val="Table Heading"/>
    <w:basedOn w:val="HeadingBase"/>
    <w:rsid w:val="006B6C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C70"/>
    <w:rPr>
      <w:color w:val="0033CC"/>
      <w:u w:val="none"/>
    </w:rPr>
  </w:style>
  <w:style w:type="paragraph" w:customStyle="1" w:styleId="BodyTextRight">
    <w:name w:val="Body Text Right"/>
    <w:basedOn w:val="BodyText"/>
    <w:rsid w:val="006B6C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C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C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C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C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C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C70"/>
    <w:rPr>
      <w:sz w:val="32"/>
    </w:rPr>
  </w:style>
  <w:style w:type="paragraph" w:customStyle="1" w:styleId="HeadingProcedure">
    <w:name w:val="Heading Procedure"/>
    <w:basedOn w:val="HeadingBase"/>
    <w:next w:val="Normal"/>
    <w:rsid w:val="006B6C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C70"/>
    <w:pPr>
      <w:spacing w:before="60" w:after="60"/>
    </w:pPr>
  </w:style>
  <w:style w:type="paragraph" w:styleId="ListContinue">
    <w:name w:val="List Continue"/>
    <w:basedOn w:val="List"/>
    <w:rsid w:val="006B6C70"/>
    <w:pPr>
      <w:ind w:firstLine="0"/>
    </w:pPr>
  </w:style>
  <w:style w:type="paragraph" w:customStyle="1" w:styleId="ListNote">
    <w:name w:val="List Note"/>
    <w:basedOn w:val="List"/>
    <w:rsid w:val="006B6C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C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C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C70"/>
    <w:rPr>
      <w:rFonts w:ascii="Courier New" w:hAnsi="Courier New"/>
    </w:rPr>
  </w:style>
  <w:style w:type="paragraph" w:customStyle="1" w:styleId="NoteBullet">
    <w:name w:val="Note Bullet"/>
    <w:basedOn w:val="Note"/>
    <w:rsid w:val="006B6C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C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C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C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C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6C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C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C70"/>
    <w:rPr>
      <w:b/>
      <w:smallCaps/>
    </w:rPr>
  </w:style>
  <w:style w:type="paragraph" w:customStyle="1" w:styleId="TableListNumber">
    <w:name w:val="Table List Number"/>
    <w:basedOn w:val="ListNumber"/>
    <w:rsid w:val="006B6C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C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C70"/>
    <w:pPr>
      <w:numPr>
        <w:numId w:val="9"/>
      </w:numPr>
    </w:pPr>
  </w:style>
  <w:style w:type="paragraph" w:customStyle="1" w:styleId="ListAlpha2">
    <w:name w:val="List Alpha 2"/>
    <w:basedOn w:val="List2"/>
    <w:rsid w:val="006B6C70"/>
    <w:pPr>
      <w:numPr>
        <w:numId w:val="8"/>
      </w:numPr>
    </w:pPr>
  </w:style>
  <w:style w:type="paragraph" w:styleId="List2">
    <w:name w:val="List 2"/>
    <w:basedOn w:val="BodyText"/>
    <w:rsid w:val="006B6C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C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C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C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C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C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6C70"/>
    <w:pPr>
      <w:numPr>
        <w:numId w:val="4"/>
      </w:numPr>
    </w:pPr>
  </w:style>
  <w:style w:type="paragraph" w:styleId="ListContinue2">
    <w:name w:val="List Continue 2"/>
    <w:basedOn w:val="List2"/>
    <w:rsid w:val="006B6C70"/>
    <w:pPr>
      <w:ind w:firstLine="0"/>
    </w:pPr>
  </w:style>
  <w:style w:type="paragraph" w:styleId="ListContinue3">
    <w:name w:val="List Continue 3"/>
    <w:basedOn w:val="List3"/>
    <w:rsid w:val="006B6C70"/>
    <w:pPr>
      <w:ind w:left="1021" w:firstLine="0"/>
    </w:pPr>
  </w:style>
  <w:style w:type="paragraph" w:styleId="ListContinue4">
    <w:name w:val="List Continue 4"/>
    <w:basedOn w:val="List4"/>
    <w:rsid w:val="006B6C70"/>
    <w:pPr>
      <w:ind w:firstLine="0"/>
    </w:pPr>
  </w:style>
  <w:style w:type="paragraph" w:styleId="ListContinue5">
    <w:name w:val="List Continue 5"/>
    <w:basedOn w:val="List5"/>
    <w:rsid w:val="006B6C70"/>
    <w:pPr>
      <w:ind w:firstLine="0"/>
    </w:pPr>
  </w:style>
  <w:style w:type="paragraph" w:styleId="ListNumber3">
    <w:name w:val="List Number 3"/>
    <w:basedOn w:val="List3"/>
    <w:rsid w:val="006B6C70"/>
    <w:pPr>
      <w:numPr>
        <w:numId w:val="5"/>
      </w:numPr>
    </w:pPr>
  </w:style>
  <w:style w:type="paragraph" w:styleId="ListNumber4">
    <w:name w:val="List Number 4"/>
    <w:basedOn w:val="List4"/>
    <w:rsid w:val="006B6C70"/>
    <w:pPr>
      <w:numPr>
        <w:numId w:val="6"/>
      </w:numPr>
    </w:pPr>
  </w:style>
  <w:style w:type="paragraph" w:styleId="ListNumber5">
    <w:name w:val="List Number 5"/>
    <w:basedOn w:val="List5"/>
    <w:rsid w:val="006B6C70"/>
    <w:pPr>
      <w:numPr>
        <w:numId w:val="7"/>
      </w:numPr>
    </w:pPr>
  </w:style>
  <w:style w:type="paragraph" w:styleId="BlockText">
    <w:name w:val="Block Text"/>
    <w:basedOn w:val="Normal"/>
    <w:rsid w:val="006B6C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C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C70"/>
    <w:rPr>
      <w:sz w:val="16"/>
      <w:vertAlign w:val="superscript"/>
    </w:rPr>
  </w:style>
  <w:style w:type="character" w:customStyle="1" w:styleId="Symbols">
    <w:name w:val="Symbols"/>
    <w:basedOn w:val="DefaultParagraphFont"/>
    <w:rsid w:val="006B6C70"/>
    <w:rPr>
      <w:rFonts w:ascii="Symbol" w:hAnsi="Symbol"/>
    </w:rPr>
  </w:style>
  <w:style w:type="character" w:customStyle="1" w:styleId="MenuOptions">
    <w:name w:val="Menu Options"/>
    <w:basedOn w:val="DefaultParagraphFont"/>
    <w:rsid w:val="006B6C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C70"/>
    <w:rPr>
      <w:b/>
    </w:rPr>
  </w:style>
  <w:style w:type="character" w:customStyle="1" w:styleId="Underlined">
    <w:name w:val="Underlined"/>
    <w:basedOn w:val="DefaultParagraphFont"/>
    <w:rsid w:val="006B6C70"/>
    <w:rPr>
      <w:u w:val="single"/>
    </w:rPr>
  </w:style>
  <w:style w:type="paragraph" w:customStyle="1" w:styleId="TableBodyTextRight">
    <w:name w:val="Table Body Text Right"/>
    <w:basedOn w:val="TableBodyText"/>
    <w:rsid w:val="006B6C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C70"/>
    <w:rPr>
      <w:sz w:val="18"/>
    </w:rPr>
  </w:style>
  <w:style w:type="paragraph" w:customStyle="1" w:styleId="BodySmallRight">
    <w:name w:val="Body Small Right"/>
    <w:basedOn w:val="BodyTextRight"/>
    <w:rsid w:val="006B6C70"/>
    <w:rPr>
      <w:sz w:val="18"/>
      <w:szCs w:val="18"/>
    </w:rPr>
  </w:style>
  <w:style w:type="paragraph" w:customStyle="1" w:styleId="MarginEdition">
    <w:name w:val="Margin Edition"/>
    <w:basedOn w:val="MarginNote"/>
    <w:rsid w:val="006B6C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C70"/>
    <w:rPr>
      <w:sz w:val="2"/>
      <w:szCs w:val="2"/>
    </w:rPr>
  </w:style>
  <w:style w:type="character" w:customStyle="1" w:styleId="Small">
    <w:name w:val="Small"/>
    <w:basedOn w:val="DefaultParagraphFont"/>
    <w:rsid w:val="006B6C70"/>
    <w:rPr>
      <w:sz w:val="16"/>
    </w:rPr>
  </w:style>
  <w:style w:type="paragraph" w:customStyle="1" w:styleId="WideTable">
    <w:name w:val="Wide Table"/>
    <w:basedOn w:val="Normal"/>
    <w:rsid w:val="006B6C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C70"/>
  </w:style>
  <w:style w:type="paragraph" w:styleId="Quote">
    <w:name w:val="Quote"/>
    <w:basedOn w:val="Heading1"/>
    <w:link w:val="QuoteChar"/>
    <w:qFormat/>
    <w:rsid w:val="006B6C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C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C70"/>
    <w:pPr>
      <w:pageBreakBefore/>
    </w:pPr>
  </w:style>
  <w:style w:type="paragraph" w:customStyle="1" w:styleId="Border">
    <w:name w:val="Border"/>
    <w:basedOn w:val="Normal"/>
    <w:qFormat/>
    <w:rsid w:val="006B6C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C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C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C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C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C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C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C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C70"/>
    <w:rPr>
      <w:u w:val="single"/>
    </w:rPr>
  </w:style>
  <w:style w:type="character" w:customStyle="1" w:styleId="BoldandItalics">
    <w:name w:val="Bold and Italics"/>
    <w:qFormat/>
    <w:rsid w:val="006B6C70"/>
    <w:rPr>
      <w:b/>
      <w:i/>
      <w:u w:val="none"/>
    </w:rPr>
  </w:style>
  <w:style w:type="paragraph" w:styleId="BalloonText">
    <w:name w:val="Balloon Text"/>
    <w:basedOn w:val="Normal"/>
    <w:link w:val="BalloonTextChar"/>
    <w:rsid w:val="006B6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C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C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C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C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C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C70"/>
    <w:pPr>
      <w:spacing w:before="0" w:after="0"/>
    </w:pPr>
  </w:style>
  <w:style w:type="paragraph" w:customStyle="1" w:styleId="BodyTextBold">
    <w:name w:val="Body Text Bold"/>
    <w:basedOn w:val="BodyText"/>
    <w:qFormat/>
    <w:rsid w:val="006B6C70"/>
    <w:rPr>
      <w:b/>
    </w:rPr>
  </w:style>
  <w:style w:type="character" w:styleId="Hyperlink">
    <w:name w:val="Hyperlink"/>
    <w:basedOn w:val="DefaultParagraphFont"/>
    <w:uiPriority w:val="99"/>
    <w:unhideWhenUsed/>
    <w:rsid w:val="00B458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4744</Characters>
  <Application>Microsoft Office Word</Application>
  <DocSecurity>0</DocSecurity>
  <Lines>121</Lines>
  <Paragraphs>91</Paragraphs>
  <ScaleCrop>false</ScaleCrop>
  <Company>Author-it Software Corporation Ltd.</Company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UEERA0068 Repair and service self-contained carbon dioxide refrigeration and heat pump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