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DC0" w:rsidP="003B1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UEERA0067 Repair and service secondary refrigeration systems</w:t>
      </w:r>
      <w:r>
        <w:fldChar w:fldCharType="end"/>
      </w:r>
    </w:p>
    <w:p w:rsidR="003B1DC0" w:rsidP="003B1DC0">
      <w:pPr>
        <w:pStyle w:val="Version"/>
        <w:sectPr w:rsidSect="00502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419" w:rsidP="00502419">
      <w:pPr>
        <w:pStyle w:val="SuperHeading"/>
      </w:pPr>
      <w:r w:rsidRPr="00502419">
        <w:t>UEERA0067 Repair and service secondary refrigeration systems</w:t>
      </w:r>
    </w:p>
    <w:p w:rsidR="00000000" w:rsidRPr="00502419" w:rsidP="00502419">
      <w:pPr>
        <w:pStyle w:val="Heading1"/>
      </w:pPr>
      <w:bookmarkStart w:id="1" w:name="O_1078735"/>
      <w:bookmarkEnd w:id="1"/>
      <w:r w:rsidRPr="005024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Release 1. This is the first release of this unit of competency in the UEE Electrotechnology Training Package.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2" w:name="O_1078736"/>
      <w:bookmarkEnd w:id="2"/>
      <w:r w:rsidRPr="005024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This unit involves the skills and knowledge required to repair and servic</w:t>
            </w:r>
            <w:r w:rsidRPr="00502419">
              <w:t>e secondary refrigeration systems.</w:t>
            </w:r>
          </w:p>
          <w:p w:rsidR="00000000" w:rsidRPr="00502419" w:rsidP="00502419">
            <w:pPr>
              <w:pStyle w:val="BodyText"/>
            </w:pPr>
            <w:r w:rsidRPr="00502419">
              <w:t xml:space="preserve">It includes maintaining the effective and efficient operation of refrigeration equipment using non-phase changing secondary refrigerant systems. It also includes applying safe working practices, utilising service manuals </w:t>
            </w:r>
            <w:r w:rsidRPr="00502419">
              <w:t>and refrigeration principles to test and perform maintenance operations to these systems and to locate defective components and repair faults, and completing reports on service and performance outcomes.</w:t>
            </w:r>
          </w:p>
          <w:p w:rsidR="00000000" w:rsidRPr="00502419" w:rsidP="00502419">
            <w:pPr>
              <w:pStyle w:val="BodyText"/>
            </w:pPr>
            <w:r w:rsidRPr="00502419">
              <w:t>The skills and knowledge in this unit will be applied</w:t>
            </w:r>
            <w:r w:rsidRPr="00502419">
              <w:t xml:space="preserve"> by refrigeration and air conditioning technicians during the service and repair of secondary refrigerant systems.</w:t>
            </w:r>
          </w:p>
          <w:p w:rsidR="00000000" w:rsidRPr="00502419" w:rsidP="00502419">
            <w:pPr>
              <w:pStyle w:val="BodyText"/>
            </w:pPr>
            <w:r w:rsidRPr="00502419">
              <w:t>The skills and knowledge described in this unit require a licence or permit to practice in the workplace where work is carried out on electri</w:t>
            </w:r>
            <w:r w:rsidRPr="00502419">
              <w:t xml:space="preserve">cal installations which are designed to operate at voltages greater than 50 volt (V) alternating current (a.c.) or 120 V direct current (d.c.). </w:t>
            </w:r>
          </w:p>
          <w:p w:rsidR="00000000" w:rsidRPr="00502419" w:rsidP="00502419">
            <w:pPr>
              <w:pStyle w:val="BodyText"/>
            </w:pPr>
            <w:r w:rsidRPr="00502419">
              <w:t xml:space="preserve">Competency development activities in this unit are subject to regulations directly related to licensing. Where </w:t>
            </w:r>
            <w:r w:rsidRPr="00502419">
              <w:t xml:space="preserve">a licence or permit to practice is not held, skills and knowledge described in this unit require a relevant contract of training, such as an Australian Apprenticeship. </w:t>
            </w:r>
          </w:p>
          <w:p w:rsidR="00000000" w:rsidRPr="00502419" w:rsidP="00502419">
            <w:pPr>
              <w:pStyle w:val="BodyText"/>
            </w:pPr>
            <w:r w:rsidRPr="00502419">
              <w:t>Additional and/or other conditions may apply in some jurisdictions subject to regulatio</w:t>
            </w:r>
            <w:r w:rsidRPr="00502419">
              <w:t xml:space="preserve">ns related to refrigeration, air conditioning or electrical work. Practice in the workplace and during training is also subject to work health and safety (WHS)/occupational health and safety (OHS) regulations.                                               </w:t>
            </w:r>
            <w:r w:rsidRPr="00502419">
              <w:t xml:space="preserve">                                                                 </w:t>
            </w:r>
          </w:p>
          <w:p w:rsidR="00000000" w:rsidRPr="00502419" w:rsidP="00502419">
            <w:pPr>
              <w:pStyle w:val="BodyText"/>
            </w:pPr>
            <w:r w:rsidRPr="00502419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3" w:name="O_1078737"/>
      <w:bookmarkEnd w:id="3"/>
      <w:r w:rsidRPr="00502419">
        <w:t>Pre-requisite Un</w:t>
      </w:r>
      <w:r w:rsidRPr="00502419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UEERA0053 Install, commission, service and maintain medium temperature systems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4" w:name="O_1078738"/>
      <w:bookmarkEnd w:id="4"/>
      <w:r w:rsidRPr="005024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Refrigeration and air-conditioning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5" w:name="O_1078739"/>
      <w:bookmarkEnd w:id="5"/>
      <w:r w:rsidRPr="005024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Electrotechnology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6" w:name="O_1078740"/>
      <w:bookmarkEnd w:id="6"/>
      <w:r w:rsidRPr="005024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PERFORMANCE CRITERIA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Performance criteria describe the performance needed to demonstrate achievement of the element.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Prepare to service secondary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Type of secondary refrigeration system components and operation are identified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 xml:space="preserve">WHS/OHS requirements and workplace procedures and safety data sheets (SDS) are identified and risk control measures </w:t>
            </w:r>
            <w:r w:rsidRPr="00502419">
              <w:t>implemented, including wearing personal protective equipment (PPE)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Safety hazards not previously identified are assessed, documented and risk control measures devised and implemented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Extent of faults is determined from reports, documentation, observation and discussions with appropriate person/s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Appropriate person/s is consulted to ensure the work is coordinated effectively with others involved on the worksite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Tools, equi</w:t>
            </w:r>
            <w:r w:rsidRPr="00502419">
              <w:t>pment and testing devices needed to carry out refrigeration work are obtained in accordance with workplace procedures and checked for correct operation and safety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Carry out secondary refrigeration 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WHS/OHS requirements, regulations, workplace procedures and risk control measures are followed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Components are checked and isolated in accordance with WHS/OHS requirements and procedures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Refrigeration maintenance tests are performed on the pri</w:t>
            </w:r>
            <w:r w:rsidRPr="00502419">
              <w:t xml:space="preserve">mary cooling source, operating pressures, operating current, refrigerant charge, secondary flow rates and condenser cooling system, and system faults or non-compliance documented to operational </w:t>
            </w:r>
            <w:r w:rsidRPr="00502419">
              <w:t>specifications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Refrigeration operational maintenance te</w:t>
            </w:r>
            <w:r w:rsidRPr="00502419">
              <w:t>sts are performed on the secondary refrigerant pumping/circulation devices, pressure and flow rates recorded, and faults or non-compliance to system specification documented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Chemical integrity, including the dilution rate, anti-bacterial and anti-co</w:t>
            </w:r>
            <w:r w:rsidRPr="00502419">
              <w:t>rrosion rates of the secondary refrigerant, is checked using test kit and following approved WHS/OHS procedures, including PPE, and results or non-compliance are documented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Secondary refrigerant pipe work is checked for leaks and stability and its insulation is checked for soundness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Refrigeration system components, evaporators, blowers, other heat exchangers, heat recovery or defrost systems are checked for correct ope</w:t>
            </w:r>
            <w:r w:rsidRPr="00502419">
              <w:t>ration and cleanliness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Control system operation, including safety controls and any faults or non-conformity to system specifications are documented in accordance with WHS/OHS guidelines and workplace practices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Repair secondary refrigeration syste</w:t>
            </w:r>
            <w:r w:rsidRPr="00502419">
              <w:rPr>
                <w:rStyle w:val="SpecialBold"/>
              </w:rPr>
              <w:t>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Justification for solutions used to solve refrigeration system problems is documented in accordance with workplace procedures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Repair work is documented and appropriate person/s notified in accordance with workplace procedures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Repairs to refrigeration system components are performed to achieve compliance to design operation and manufacturer recommendations for effective operation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Refrigeration control system are adjusted, as required, to achieve compliance to design opera</w:t>
            </w:r>
            <w:r w:rsidRPr="00502419">
              <w:t>tion and manufacturer recommendations for effective operation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Record of flows, pressures and temperatures obtained before and after repair are compared to refrigeration specifications and contingency measures implemented, as required, to ensure comp</w:t>
            </w:r>
            <w:r w:rsidRPr="00502419">
              <w:t>liance to design operation and manufacturer recommendations for effective operation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rPr>
                <w:rStyle w:val="SpecialBold"/>
              </w:rPr>
              <w:t>Complete reports on refrigeration maintenance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Work area is cleaned and made safe in accordance with workplace procedures and practices</w:t>
            </w:r>
          </w:p>
        </w:tc>
      </w:tr>
      <w:tr w:rsidTr="005024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Refrigeration service/maintenance and repair activities on secondary refrigeration system and relevant non-compliance specification after repair are documented and reported to appropriate person/s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7" w:name="O_1078741"/>
      <w:bookmarkEnd w:id="7"/>
      <w:r w:rsidRPr="005024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Foundation skills es</w:t>
            </w:r>
            <w:r w:rsidRPr="00502419">
              <w:t>sential to performance are explicit in the performance criteria of this unit of competency.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8" w:name="O_1078742"/>
      <w:bookmarkEnd w:id="8"/>
      <w:r w:rsidRPr="005024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Range is restricted to essential operating conditions and any other variables essential to the work environment.</w:t>
            </w:r>
          </w:p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Non-essent</w:t>
            </w:r>
            <w:r w:rsidRPr="00502419">
              <w:t>ial conditions may be found in the UEE Electrotechnology Training Package Companion Volume Implementation Guide.</w:t>
            </w:r>
          </w:p>
        </w:tc>
      </w:tr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Servicing and repairing secondary refrigeration systems must include at least two of the following system types:</w:t>
            </w:r>
          </w:p>
          <w:p w:rsidR="00000000" w:rsidP="00502419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ListBullet"/>
            </w:pPr>
            <w:r w:rsidRPr="00502419">
              <w:t>chilled water or glycol/brine system</w:t>
            </w:r>
          </w:p>
          <w:p w:rsidR="00000000" w:rsidRPr="00502419" w:rsidP="00502419">
            <w:pPr>
              <w:pStyle w:val="ListBullet"/>
            </w:pPr>
            <w:r w:rsidRPr="00502419">
              <w:t>condenser water system</w:t>
            </w:r>
          </w:p>
          <w:p w:rsidR="00000000" w:rsidRPr="00502419" w:rsidP="00502419">
            <w:pPr>
              <w:pStyle w:val="ListBullet"/>
            </w:pPr>
            <w:r w:rsidRPr="00502419">
              <w:t>defrost system</w:t>
            </w:r>
          </w:p>
          <w:p w:rsidR="00000000" w:rsidRPr="00502419" w:rsidP="00502419">
            <w:pPr>
              <w:pStyle w:val="ListBullet"/>
            </w:pPr>
            <w:r w:rsidRPr="00502419">
              <w:t>heat recovery system</w:t>
            </w:r>
          </w:p>
          <w:p w:rsidR="00000000" w:rsidP="00502419">
            <w:pPr>
              <w:pStyle w:val="ListBullet"/>
              <w:rPr>
                <w:lang w:val="en-NZ"/>
              </w:rPr>
            </w:pPr>
            <w:r w:rsidRPr="00502419">
              <w:t>thermal storage system</w:t>
            </w:r>
          </w:p>
        </w:tc>
      </w:tr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Servicing and repairing secondary refrigeration systems must include the following components: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ListBullet"/>
            </w:pPr>
            <w:r w:rsidRPr="00502419">
              <w:t>cycling controls</w:t>
            </w:r>
          </w:p>
          <w:p w:rsidR="00000000" w:rsidRPr="00502419" w:rsidP="00502419">
            <w:pPr>
              <w:pStyle w:val="ListBullet"/>
            </w:pPr>
            <w:r w:rsidRPr="00502419">
              <w:t>heat exchangers</w:t>
            </w:r>
          </w:p>
          <w:p w:rsidR="00000000" w:rsidRPr="00502419" w:rsidP="00502419">
            <w:pPr>
              <w:pStyle w:val="ListBullet"/>
            </w:pPr>
            <w:r w:rsidRPr="00502419">
              <w:t>primary refrigerant flow controls</w:t>
            </w:r>
          </w:p>
          <w:p w:rsidR="00000000" w:rsidRPr="00502419" w:rsidP="00502419">
            <w:pPr>
              <w:pStyle w:val="ListBullet"/>
            </w:pPr>
            <w:r w:rsidRPr="00502419">
              <w:t>pumps</w:t>
            </w:r>
          </w:p>
          <w:p w:rsidR="00000000" w:rsidRPr="00502419" w:rsidP="00502419">
            <w:pPr>
              <w:pStyle w:val="ListBullet"/>
            </w:pPr>
            <w:r w:rsidRPr="00502419">
              <w:t xml:space="preserve">safety controls </w:t>
            </w:r>
          </w:p>
          <w:p w:rsidR="00000000" w:rsidRPr="00502419" w:rsidP="00502419">
            <w:pPr>
              <w:pStyle w:val="ListBullet"/>
            </w:pPr>
            <w:r w:rsidRPr="00502419">
              <w:t>evaporators/cooling coils, forced and natural draft</w:t>
            </w:r>
          </w:p>
          <w:p w:rsidR="00000000" w:rsidRPr="00502419" w:rsidP="00502419">
            <w:pPr>
              <w:pStyle w:val="ListBullet"/>
            </w:pPr>
            <w:r w:rsidRPr="00502419">
              <w:t>secondary refrigerant flow controls</w:t>
            </w:r>
          </w:p>
          <w:p w:rsidR="00000000" w:rsidP="00502419">
            <w:pPr>
              <w:pStyle w:val="ListBullet"/>
              <w:rPr>
                <w:lang w:val="en-NZ"/>
              </w:rPr>
            </w:pPr>
            <w:r w:rsidRPr="00502419">
              <w:t>secondary refrigerant piping, insulation and associated equipment</w:t>
            </w:r>
          </w:p>
        </w:tc>
      </w:tr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Spparatus must include at least the followin</w:t>
            </w:r>
            <w:r w:rsidRPr="00502419">
              <w:t>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ListBullet"/>
            </w:pPr>
            <w:r w:rsidRPr="00502419">
              <w:t>chilled water systems (primary system)</w:t>
            </w:r>
          </w:p>
          <w:p w:rsidR="00000000" w:rsidP="00502419">
            <w:pPr>
              <w:pStyle w:val="ListBullet"/>
              <w:rPr>
                <w:lang w:val="en-NZ"/>
              </w:rPr>
            </w:pPr>
            <w:r w:rsidRPr="00502419">
              <w:tab/>
              <w:t>ice bank systems</w:t>
            </w:r>
          </w:p>
        </w:tc>
      </w:tr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19">
            <w:pPr>
              <w:pStyle w:val="BodyText"/>
              <w:rPr>
                <w:lang w:val="en-NZ"/>
              </w:rPr>
            </w:pPr>
            <w:r w:rsidRPr="00502419">
              <w:t>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ListBullet"/>
            </w:pPr>
            <w:r w:rsidRPr="00502419">
              <w:t>cool rooms</w:t>
            </w:r>
          </w:p>
          <w:p w:rsidR="00000000" w:rsidRPr="00502419" w:rsidP="00502419">
            <w:pPr>
              <w:pStyle w:val="ListBullet"/>
            </w:pPr>
            <w:r w:rsidRPr="00502419">
              <w:t>freezer rooms</w:t>
            </w:r>
          </w:p>
          <w:p w:rsidR="00000000" w:rsidRPr="00502419" w:rsidP="00502419">
            <w:pPr>
              <w:pStyle w:val="ListBullet"/>
            </w:pPr>
            <w:r w:rsidRPr="00502419">
              <w:t>merchandising and display cabinets</w:t>
            </w:r>
          </w:p>
          <w:p w:rsidR="00000000" w:rsidRPr="00502419" w:rsidP="00502419">
            <w:pPr>
              <w:pStyle w:val="ListBullet"/>
            </w:pPr>
            <w:r w:rsidRPr="00502419">
              <w:t>other commercial or industrial applications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9" w:name="O_1078743"/>
      <w:bookmarkEnd w:id="9"/>
      <w:r w:rsidRPr="005024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24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19" w:rsidP="00502419">
            <w:pPr>
              <w:pStyle w:val="BodyText"/>
            </w:pPr>
            <w:r w:rsidRPr="00502419">
              <w:t>This unit replaces and is equivalent to UEENEEJ182A Repair and service secondary refrigeration systems.</w:t>
            </w:r>
          </w:p>
        </w:tc>
      </w:tr>
    </w:tbl>
    <w:p w:rsidR="00000000" w:rsidRPr="00502419" w:rsidP="00502419">
      <w:pPr>
        <w:pStyle w:val="NoPaddingFontSize1"/>
      </w:pPr>
    </w:p>
    <w:p w:rsidR="00000000" w:rsidRPr="00502419" w:rsidP="00502419">
      <w:pPr>
        <w:pStyle w:val="AllowPageBreak"/>
      </w:pPr>
    </w:p>
    <w:p w:rsidR="00000000" w:rsidRPr="00502419" w:rsidP="00502419">
      <w:pPr>
        <w:pStyle w:val="Heading1"/>
      </w:pPr>
      <w:bookmarkStart w:id="10" w:name="O_1078750"/>
      <w:bookmarkEnd w:id="10"/>
      <w:r w:rsidRPr="00502419">
        <w:t>Links</w:t>
      </w:r>
    </w:p>
    <w:p w:rsidR="00000000" w:rsidRPr="00502419" w:rsidP="003B1DC0">
      <w:pPr>
        <w:pStyle w:val="BodyText"/>
      </w:pPr>
      <w:r w:rsidRPr="005024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920F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2419" w:rsidP="00502419"/>
    <w:sectPr w:rsidSect="00502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19" w:rsidRPr="003B1DC0" w:rsidP="003B1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C0" w:rsidP="00502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DC0" w:rsidP="00502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1DC0" w:rsidP="00502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419" w:rsidRPr="003B1DC0" w:rsidP="003B1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DC0" w:rsidRPr="002D2AF8" w:rsidP="00502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UEERA0067 Repair and service secondary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B1DC0" w:rsidP="00502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B80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06B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419"/>
  </w:style>
  <w:style w:type="character" w:customStyle="1" w:styleId="Heading1Char">
    <w:name w:val="Heading 1 Char"/>
    <w:basedOn w:val="DefaultParagraphFont"/>
    <w:link w:val="Heading1"/>
    <w:rsid w:val="00502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4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419"/>
    <w:rPr>
      <w:b/>
      <w:spacing w:val="0"/>
    </w:rPr>
  </w:style>
  <w:style w:type="paragraph" w:customStyle="1" w:styleId="SuperHeading">
    <w:name w:val="SuperHeading"/>
    <w:basedOn w:val="Normal"/>
    <w:rsid w:val="00502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2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4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419"/>
    <w:rPr>
      <w:i/>
    </w:rPr>
  </w:style>
  <w:style w:type="paragraph" w:styleId="Caption">
    <w:name w:val="caption"/>
    <w:basedOn w:val="BodyText"/>
    <w:next w:val="Normal"/>
    <w:qFormat/>
    <w:rsid w:val="00502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419"/>
  </w:style>
  <w:style w:type="paragraph" w:styleId="TableofFigures">
    <w:name w:val="table of figures"/>
    <w:basedOn w:val="Normal"/>
    <w:next w:val="Normal"/>
    <w:semiHidden/>
    <w:rsid w:val="00502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4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419"/>
    <w:rPr>
      <w:rFonts w:ascii="Wingdings" w:hAnsi="Wingdings"/>
    </w:rPr>
  </w:style>
  <w:style w:type="paragraph" w:customStyle="1" w:styleId="TableHeading">
    <w:name w:val="Table Heading"/>
    <w:basedOn w:val="HeadingBase"/>
    <w:rsid w:val="00502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419"/>
    <w:rPr>
      <w:color w:val="0033CC"/>
      <w:u w:val="none"/>
    </w:rPr>
  </w:style>
  <w:style w:type="paragraph" w:customStyle="1" w:styleId="BodyTextRight">
    <w:name w:val="Body Text Right"/>
    <w:basedOn w:val="BodyText"/>
    <w:rsid w:val="00502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4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419"/>
    <w:rPr>
      <w:sz w:val="32"/>
    </w:rPr>
  </w:style>
  <w:style w:type="paragraph" w:customStyle="1" w:styleId="HeadingProcedure">
    <w:name w:val="Heading Procedure"/>
    <w:basedOn w:val="HeadingBase"/>
    <w:next w:val="Normal"/>
    <w:rsid w:val="00502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419"/>
    <w:pPr>
      <w:spacing w:before="60" w:after="60"/>
    </w:pPr>
  </w:style>
  <w:style w:type="paragraph" w:styleId="ListContinue">
    <w:name w:val="List Continue"/>
    <w:basedOn w:val="List"/>
    <w:rsid w:val="00502419"/>
    <w:pPr>
      <w:ind w:firstLine="0"/>
    </w:pPr>
  </w:style>
  <w:style w:type="paragraph" w:customStyle="1" w:styleId="ListNote">
    <w:name w:val="List Note"/>
    <w:basedOn w:val="List"/>
    <w:rsid w:val="00502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419"/>
    <w:rPr>
      <w:rFonts w:ascii="Courier New" w:hAnsi="Courier New"/>
    </w:rPr>
  </w:style>
  <w:style w:type="paragraph" w:customStyle="1" w:styleId="NoteBullet">
    <w:name w:val="Note Bullet"/>
    <w:basedOn w:val="Note"/>
    <w:rsid w:val="00502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4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419"/>
    <w:rPr>
      <w:b/>
      <w:smallCaps/>
    </w:rPr>
  </w:style>
  <w:style w:type="paragraph" w:customStyle="1" w:styleId="TableListNumber">
    <w:name w:val="Table List Number"/>
    <w:basedOn w:val="ListNumber"/>
    <w:rsid w:val="00502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419"/>
    <w:pPr>
      <w:numPr>
        <w:numId w:val="8"/>
      </w:numPr>
    </w:pPr>
  </w:style>
  <w:style w:type="paragraph" w:customStyle="1" w:styleId="ListAlpha2">
    <w:name w:val="List Alpha 2"/>
    <w:basedOn w:val="List2"/>
    <w:rsid w:val="00502419"/>
    <w:pPr>
      <w:numPr>
        <w:numId w:val="7"/>
      </w:numPr>
    </w:pPr>
  </w:style>
  <w:style w:type="paragraph" w:styleId="List2">
    <w:name w:val="List 2"/>
    <w:basedOn w:val="BodyText"/>
    <w:rsid w:val="00502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4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4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419"/>
    <w:pPr>
      <w:numPr>
        <w:numId w:val="3"/>
      </w:numPr>
    </w:pPr>
  </w:style>
  <w:style w:type="paragraph" w:styleId="ListContinue2">
    <w:name w:val="List Continue 2"/>
    <w:basedOn w:val="List2"/>
    <w:rsid w:val="00502419"/>
    <w:pPr>
      <w:ind w:firstLine="0"/>
    </w:pPr>
  </w:style>
  <w:style w:type="paragraph" w:styleId="ListContinue3">
    <w:name w:val="List Continue 3"/>
    <w:basedOn w:val="List3"/>
    <w:rsid w:val="00502419"/>
    <w:pPr>
      <w:ind w:left="1021" w:firstLine="0"/>
    </w:pPr>
  </w:style>
  <w:style w:type="paragraph" w:styleId="ListContinue4">
    <w:name w:val="List Continue 4"/>
    <w:basedOn w:val="List4"/>
    <w:rsid w:val="00502419"/>
    <w:pPr>
      <w:ind w:firstLine="0"/>
    </w:pPr>
  </w:style>
  <w:style w:type="paragraph" w:styleId="ListContinue5">
    <w:name w:val="List Continue 5"/>
    <w:basedOn w:val="List5"/>
    <w:rsid w:val="00502419"/>
    <w:pPr>
      <w:ind w:firstLine="0"/>
    </w:pPr>
  </w:style>
  <w:style w:type="paragraph" w:styleId="ListNumber3">
    <w:name w:val="List Number 3"/>
    <w:basedOn w:val="List3"/>
    <w:rsid w:val="00502419"/>
    <w:pPr>
      <w:numPr>
        <w:numId w:val="4"/>
      </w:numPr>
    </w:pPr>
  </w:style>
  <w:style w:type="paragraph" w:styleId="ListNumber4">
    <w:name w:val="List Number 4"/>
    <w:basedOn w:val="List4"/>
    <w:rsid w:val="00502419"/>
    <w:pPr>
      <w:numPr>
        <w:numId w:val="5"/>
      </w:numPr>
    </w:pPr>
  </w:style>
  <w:style w:type="paragraph" w:styleId="ListNumber5">
    <w:name w:val="List Number 5"/>
    <w:basedOn w:val="List5"/>
    <w:rsid w:val="00502419"/>
    <w:pPr>
      <w:numPr>
        <w:numId w:val="6"/>
      </w:numPr>
    </w:pPr>
  </w:style>
  <w:style w:type="paragraph" w:styleId="BlockText">
    <w:name w:val="Block Text"/>
    <w:basedOn w:val="Normal"/>
    <w:rsid w:val="00502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419"/>
    <w:rPr>
      <w:sz w:val="16"/>
      <w:vertAlign w:val="superscript"/>
    </w:rPr>
  </w:style>
  <w:style w:type="character" w:customStyle="1" w:styleId="Symbols">
    <w:name w:val="Symbols"/>
    <w:basedOn w:val="DefaultParagraphFont"/>
    <w:rsid w:val="00502419"/>
    <w:rPr>
      <w:rFonts w:ascii="Symbol" w:hAnsi="Symbol"/>
    </w:rPr>
  </w:style>
  <w:style w:type="character" w:customStyle="1" w:styleId="MenuOptions">
    <w:name w:val="Menu Options"/>
    <w:basedOn w:val="DefaultParagraphFont"/>
    <w:rsid w:val="00502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419"/>
    <w:rPr>
      <w:b/>
    </w:rPr>
  </w:style>
  <w:style w:type="character" w:customStyle="1" w:styleId="Underlined">
    <w:name w:val="Underlined"/>
    <w:basedOn w:val="DefaultParagraphFont"/>
    <w:rsid w:val="00502419"/>
    <w:rPr>
      <w:u w:val="single"/>
    </w:rPr>
  </w:style>
  <w:style w:type="paragraph" w:customStyle="1" w:styleId="TableBodyTextRight">
    <w:name w:val="Table Body Text Right"/>
    <w:basedOn w:val="TableBodyText"/>
    <w:rsid w:val="00502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419"/>
    <w:rPr>
      <w:sz w:val="18"/>
    </w:rPr>
  </w:style>
  <w:style w:type="paragraph" w:customStyle="1" w:styleId="BodySmallRight">
    <w:name w:val="Body Small Right"/>
    <w:basedOn w:val="BodyTextRight"/>
    <w:rsid w:val="00502419"/>
    <w:rPr>
      <w:sz w:val="18"/>
      <w:szCs w:val="18"/>
    </w:rPr>
  </w:style>
  <w:style w:type="paragraph" w:customStyle="1" w:styleId="MarginEdition">
    <w:name w:val="Margin Edition"/>
    <w:basedOn w:val="MarginNote"/>
    <w:rsid w:val="00502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419"/>
    <w:rPr>
      <w:sz w:val="2"/>
      <w:szCs w:val="2"/>
    </w:rPr>
  </w:style>
  <w:style w:type="character" w:customStyle="1" w:styleId="Small">
    <w:name w:val="Small"/>
    <w:basedOn w:val="DefaultParagraphFont"/>
    <w:rsid w:val="00502419"/>
    <w:rPr>
      <w:sz w:val="16"/>
    </w:rPr>
  </w:style>
  <w:style w:type="paragraph" w:customStyle="1" w:styleId="WideTable">
    <w:name w:val="Wide Table"/>
    <w:basedOn w:val="Normal"/>
    <w:rsid w:val="00502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419"/>
  </w:style>
  <w:style w:type="paragraph" w:styleId="Quote">
    <w:name w:val="Quote"/>
    <w:basedOn w:val="Heading1"/>
    <w:link w:val="QuoteChar"/>
    <w:qFormat/>
    <w:rsid w:val="00502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419"/>
    <w:pPr>
      <w:pageBreakBefore/>
    </w:pPr>
  </w:style>
  <w:style w:type="paragraph" w:customStyle="1" w:styleId="Border">
    <w:name w:val="Border"/>
    <w:basedOn w:val="Normal"/>
    <w:qFormat/>
    <w:rsid w:val="00502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419"/>
    <w:rPr>
      <w:u w:val="single"/>
    </w:rPr>
  </w:style>
  <w:style w:type="character" w:customStyle="1" w:styleId="BoldandItalics">
    <w:name w:val="Bold and Italics"/>
    <w:qFormat/>
    <w:rsid w:val="00502419"/>
    <w:rPr>
      <w:b/>
      <w:i/>
      <w:u w:val="none"/>
    </w:rPr>
  </w:style>
  <w:style w:type="paragraph" w:styleId="BalloonText">
    <w:name w:val="Balloon Text"/>
    <w:basedOn w:val="Normal"/>
    <w:link w:val="BalloonTextChar"/>
    <w:rsid w:val="00502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419"/>
    <w:pPr>
      <w:spacing w:before="0" w:after="0"/>
    </w:pPr>
  </w:style>
  <w:style w:type="paragraph" w:customStyle="1" w:styleId="BodyTextBold">
    <w:name w:val="Body Text Bold"/>
    <w:basedOn w:val="BodyText"/>
    <w:qFormat/>
    <w:rsid w:val="00502419"/>
    <w:rPr>
      <w:b/>
    </w:rPr>
  </w:style>
  <w:style w:type="character" w:styleId="Hyperlink">
    <w:name w:val="Hyperlink"/>
    <w:basedOn w:val="DefaultParagraphFont"/>
    <w:uiPriority w:val="99"/>
    <w:unhideWhenUsed/>
    <w:rsid w:val="003B1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6772</Characters>
  <Application>Microsoft Office Word</Application>
  <DocSecurity>0</DocSecurity>
  <Lines>260</Lines>
  <Paragraphs>127</Paragraphs>
  <ScaleCrop>false</ScaleCrop>
  <Company>Author-it Software Corporation Ltd.</Company>
  <LinksUpToDate>false</LinksUpToDate>
  <CharactersWithSpaces>7669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UEERA0067 Repair and service secondary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