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0BC" w:rsidP="006730BC">
      <w:pPr>
        <w:pStyle w:val="Title"/>
      </w:pPr>
      <w:r>
        <w:fldChar w:fldCharType="begin"/>
      </w:r>
      <w:r>
        <w:instrText xml:space="preserve"> TITLE   \* MERGEFORMAT </w:instrText>
      </w:r>
      <w:r>
        <w:fldChar w:fldCharType="separate"/>
      </w:r>
      <w:r>
        <w:t>Assessment Requirements for UEERA0064 Recover, pressure test, evacuate, charge and leak test refrigerants - split systems</w:t>
      </w:r>
      <w:r>
        <w:fldChar w:fldCharType="end"/>
      </w:r>
    </w:p>
    <w:p w:rsidR="006730BC" w:rsidP="006730BC">
      <w:pPr>
        <w:pStyle w:val="Version"/>
        <w:sectPr w:rsidSect="00E246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6D3" w:rsidP="00E246D3">
      <w:pPr>
        <w:pStyle w:val="SuperHeading"/>
      </w:pPr>
      <w:r w:rsidRPr="00E246D3">
        <w:t>Assessment Requirements for UEERA0064 Recover, pressure test, evacuate, charge and leak test refrigerants - split systems</w:t>
      </w:r>
    </w:p>
    <w:p w:rsidR="00000000" w:rsidRPr="00E246D3" w:rsidP="00E246D3">
      <w:pPr>
        <w:pStyle w:val="Heading1"/>
      </w:pPr>
      <w:bookmarkStart w:id="1" w:name="O_1078840"/>
      <w:bookmarkEnd w:id="1"/>
      <w:r w:rsidRPr="00E246D3">
        <w:t>Modification History</w:t>
      </w:r>
    </w:p>
    <w:tbl>
      <w:tblPr>
        <w:tblW w:w="9497" w:type="dxa"/>
        <w:tblLayout w:type="fixed"/>
        <w:tblCellMar>
          <w:left w:w="62" w:type="dxa"/>
          <w:right w:w="62" w:type="dxa"/>
        </w:tblCellMar>
        <w:tblLook w:val="0000"/>
      </w:tblPr>
      <w:tblGrid>
        <w:gridCol w:w="9497"/>
      </w:tblGrid>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6D3" w:rsidP="00E246D3">
            <w:pPr>
              <w:pStyle w:val="BodyText"/>
            </w:pPr>
            <w:r w:rsidRPr="00E246D3">
              <w:t>Release 1. This is the first release of this unit of competency in the UEE Electrotechnology Training Package.</w:t>
            </w:r>
          </w:p>
        </w:tc>
      </w:tr>
    </w:tbl>
    <w:p w:rsidR="00000000" w:rsidRPr="00E246D3" w:rsidP="00E246D3">
      <w:pPr>
        <w:pStyle w:val="NoPaddingFontSize1"/>
      </w:pPr>
    </w:p>
    <w:p w:rsidR="00000000" w:rsidRPr="00E246D3" w:rsidP="00E246D3">
      <w:pPr>
        <w:pStyle w:val="AllowPageBreak"/>
      </w:pPr>
    </w:p>
    <w:p w:rsidR="00000000" w:rsidRPr="00E246D3" w:rsidP="00E246D3">
      <w:pPr>
        <w:pStyle w:val="Heading1"/>
      </w:pPr>
      <w:bookmarkStart w:id="2" w:name="O_1078841"/>
      <w:bookmarkEnd w:id="2"/>
      <w:r w:rsidRPr="00E246D3">
        <w:t>Performance Evidence</w:t>
      </w:r>
    </w:p>
    <w:tbl>
      <w:tblPr>
        <w:tblW w:w="9497" w:type="dxa"/>
        <w:tblLayout w:type="fixed"/>
        <w:tblCellMar>
          <w:left w:w="62" w:type="dxa"/>
          <w:right w:w="62" w:type="dxa"/>
        </w:tblCellMar>
        <w:tblLook w:val="0000"/>
      </w:tblPr>
      <w:tblGrid>
        <w:gridCol w:w="9497"/>
      </w:tblGrid>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46D3">
            <w:pPr>
              <w:pStyle w:val="BodyText"/>
              <w:rPr>
                <w:lang w:val="en-NZ"/>
              </w:rPr>
            </w:pPr>
            <w:r w:rsidRPr="00E246D3">
              <w:t>Evidence required to demonstrate competence in this unit must be relevant to and satisfy all of the req</w:t>
            </w:r>
            <w:r w:rsidRPr="00E246D3">
              <w:t xml:space="preserve">uirements of the elements, performance criteria and range of conditions on at least two separate occasions and include: </w:t>
            </w:r>
          </w:p>
        </w:tc>
      </w:tr>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6D3" w:rsidP="00E246D3">
            <w:pPr>
              <w:pStyle w:val="ListBullet"/>
            </w:pPr>
            <w:r w:rsidRPr="00E246D3">
              <w:t>applying relevant work health and safety (WHS)/occupational health and safety (OHS) requirements, including:</w:t>
            </w:r>
          </w:p>
          <w:p w:rsidR="00000000" w:rsidRPr="00E246D3" w:rsidP="00E246D3">
            <w:pPr>
              <w:pStyle w:val="ListBullet2"/>
            </w:pPr>
            <w:r w:rsidRPr="00E246D3">
              <w:t>identifying hazards</w:t>
            </w:r>
          </w:p>
          <w:p w:rsidR="00000000" w:rsidRPr="00E246D3" w:rsidP="00E246D3">
            <w:pPr>
              <w:pStyle w:val="ListBullet2"/>
            </w:pPr>
            <w:r w:rsidRPr="00E246D3">
              <w:t>risk control measures</w:t>
            </w:r>
          </w:p>
          <w:p w:rsidR="00000000" w:rsidRPr="00E246D3" w:rsidP="00E246D3">
            <w:pPr>
              <w:pStyle w:val="ListBullet2"/>
            </w:pPr>
            <w:r w:rsidRPr="00E246D3">
              <w:t>using personal protective equipment (PPE)</w:t>
            </w:r>
          </w:p>
          <w:p w:rsidR="00000000" w:rsidRPr="00E246D3" w:rsidP="00E246D3">
            <w:pPr>
              <w:pStyle w:val="ListBullet"/>
            </w:pPr>
            <w:r w:rsidRPr="00E246D3">
              <w:t>applying safe working practices and relevant legislation, industry standards, codes of practice and regulations</w:t>
            </w:r>
          </w:p>
          <w:p w:rsidR="00000000" w:rsidRPr="00E246D3" w:rsidP="00E246D3">
            <w:pPr>
              <w:pStyle w:val="ListBullet"/>
            </w:pPr>
            <w:r w:rsidRPr="00E246D3">
              <w:t>completing required documentation, including reporting refrigerant recovery, pr</w:t>
            </w:r>
            <w:r w:rsidRPr="00E246D3">
              <w:t>essure and leak tests, evacuations, charging refrigerant work and system operating conditions determining basic operating conditions, including:</w:t>
            </w:r>
          </w:p>
          <w:p w:rsidR="00000000" w:rsidRPr="00E246D3" w:rsidP="00E246D3">
            <w:pPr>
              <w:pStyle w:val="ListBullet2"/>
            </w:pPr>
            <w:r w:rsidRPr="00E246D3">
              <w:t xml:space="preserve">ambient, evaporation and condensing temperatures </w:t>
            </w:r>
          </w:p>
          <w:p w:rsidR="00000000" w:rsidRPr="00E246D3" w:rsidP="00E246D3">
            <w:pPr>
              <w:pStyle w:val="ListBullet2"/>
            </w:pPr>
            <w:r w:rsidRPr="00E246D3">
              <w:t>evaporator and condenser temperature differences</w:t>
            </w:r>
          </w:p>
          <w:p w:rsidR="00000000" w:rsidRPr="00E246D3" w:rsidP="00E246D3">
            <w:pPr>
              <w:pStyle w:val="ListBullet2"/>
            </w:pPr>
            <w:r w:rsidRPr="00E246D3">
              <w:t>suction and</w:t>
            </w:r>
            <w:r w:rsidRPr="00E246D3">
              <w:t xml:space="preserve"> discharge pressures</w:t>
            </w:r>
          </w:p>
          <w:p w:rsidR="00000000" w:rsidRPr="00E246D3" w:rsidP="00E246D3">
            <w:pPr>
              <w:pStyle w:val="ListBullet"/>
            </w:pPr>
            <w:r w:rsidRPr="00E246D3">
              <w:t>recovering, pressure testing, evacuating, charging and leak testing refrigerant in newly installed split systems to requirements using appropriate equipment, tools and measurement devices</w:t>
            </w:r>
          </w:p>
          <w:p w:rsidR="00000000" w:rsidRPr="00E246D3" w:rsidP="00E246D3">
            <w:pPr>
              <w:pStyle w:val="ListBullet"/>
            </w:pPr>
            <w:r w:rsidRPr="00E246D3">
              <w:t>starting up system and performing function che</w:t>
            </w:r>
            <w:r w:rsidRPr="00E246D3">
              <w:t xml:space="preserve">cks </w:t>
            </w:r>
          </w:p>
          <w:p w:rsidR="00000000" w:rsidRPr="00E246D3" w:rsidP="00E246D3">
            <w:pPr>
              <w:pStyle w:val="ListBullet"/>
            </w:pPr>
            <w:r w:rsidRPr="00E246D3">
              <w:t>selecting, obtaining and checking relevant equipment, materials, tools and testing devices required to carry out the work, including:</w:t>
            </w:r>
          </w:p>
          <w:p w:rsidR="00000000" w:rsidRPr="00E246D3" w:rsidP="00E246D3">
            <w:pPr>
              <w:pStyle w:val="ListBullet2"/>
            </w:pPr>
            <w:r w:rsidRPr="00E246D3">
              <w:t>A1, A2 and A2L class refrigerants, lubricants and charging equipment</w:t>
            </w:r>
          </w:p>
          <w:p w:rsidR="00000000" w:rsidRPr="00E246D3" w:rsidP="00E246D3">
            <w:pPr>
              <w:pStyle w:val="ListBullet2"/>
            </w:pPr>
            <w:r w:rsidRPr="00E246D3">
              <w:t>oxygen-free dry nitrogen cylinder and regulator</w:t>
            </w:r>
            <w:r w:rsidRPr="00E246D3">
              <w:t xml:space="preserve"> </w:t>
            </w:r>
          </w:p>
          <w:p w:rsidR="00000000" w:rsidRPr="00E246D3" w:rsidP="00E246D3">
            <w:pPr>
              <w:pStyle w:val="ListBullet2"/>
            </w:pPr>
            <w:r w:rsidRPr="00E246D3">
              <w:t xml:space="preserve">pressure and temperature measurement devices </w:t>
            </w:r>
          </w:p>
          <w:p w:rsidR="00000000" w:rsidRPr="00E246D3" w:rsidP="00E246D3">
            <w:pPr>
              <w:pStyle w:val="ListBullet2"/>
            </w:pPr>
            <w:r w:rsidRPr="00E246D3">
              <w:t xml:space="preserve">pressure testing and refrigerant leak testing equipment and tools </w:t>
            </w:r>
          </w:p>
          <w:p w:rsidR="00000000" w:rsidRPr="00E246D3" w:rsidP="00E246D3">
            <w:pPr>
              <w:pStyle w:val="ListBullet2"/>
            </w:pPr>
            <w:r w:rsidRPr="00E246D3">
              <w:t>refrigeration evacuation equipment and measuring equipment suitable for A1, A2 and A2L class refrigerants</w:t>
            </w:r>
          </w:p>
          <w:p w:rsidR="00000000" w:rsidRPr="00E246D3" w:rsidP="00E246D3">
            <w:pPr>
              <w:pStyle w:val="ListBullet2"/>
            </w:pPr>
            <w:r w:rsidRPr="00E246D3">
              <w:t>refrigerant recovery/reclaim equipment suitable for A1, A2 and A2L class refrigerants</w:t>
            </w:r>
          </w:p>
          <w:p w:rsidR="00000000" w:rsidRPr="00E246D3" w:rsidP="00E246D3">
            <w:pPr>
              <w:pStyle w:val="ListBullet2"/>
            </w:pPr>
            <w:r w:rsidRPr="00E246D3">
              <w:t>refrigeration hand and power tools</w:t>
            </w:r>
          </w:p>
          <w:p w:rsidR="00000000" w:rsidRPr="00E246D3" w:rsidP="00E246D3">
            <w:pPr>
              <w:pStyle w:val="ListBullet2"/>
            </w:pPr>
            <w:r w:rsidRPr="00E246D3">
              <w:t xml:space="preserve">refrigeration service tools </w:t>
            </w:r>
          </w:p>
          <w:p w:rsidR="00000000" w:rsidRPr="00E246D3" w:rsidP="00E246D3">
            <w:pPr>
              <w:pStyle w:val="ListBullet2"/>
            </w:pPr>
            <w:r w:rsidRPr="00E246D3">
              <w:t>single head split air conditioning systems</w:t>
            </w:r>
          </w:p>
          <w:p w:rsidR="00000000" w:rsidRPr="00E246D3" w:rsidP="00E246D3">
            <w:pPr>
              <w:pStyle w:val="ListBullet"/>
            </w:pPr>
            <w:r w:rsidRPr="00E246D3">
              <w:t>using lubricants and cleaning materials safely in accordance w</w:t>
            </w:r>
            <w:r w:rsidRPr="00E246D3">
              <w:t>ith safety data sheets (SDS)/material safety data sheets (MSDS).</w:t>
            </w:r>
          </w:p>
        </w:tc>
      </w:tr>
    </w:tbl>
    <w:p w:rsidR="00000000" w:rsidRPr="00E246D3" w:rsidP="00E246D3">
      <w:pPr>
        <w:pStyle w:val="NoPaddingFontSize1"/>
      </w:pPr>
    </w:p>
    <w:p w:rsidR="00000000" w:rsidRPr="00E246D3" w:rsidP="00E246D3">
      <w:pPr>
        <w:pStyle w:val="AllowPageBreak"/>
      </w:pPr>
    </w:p>
    <w:p w:rsidR="00000000" w:rsidRPr="00E246D3" w:rsidP="00E246D3">
      <w:pPr>
        <w:pStyle w:val="Heading1"/>
      </w:pPr>
      <w:bookmarkStart w:id="3" w:name="O_1078842"/>
      <w:bookmarkEnd w:id="3"/>
      <w:r w:rsidRPr="00E246D3">
        <w:t>Knowledge Evidence</w:t>
      </w:r>
    </w:p>
    <w:tbl>
      <w:tblPr>
        <w:tblW w:w="9497" w:type="dxa"/>
        <w:tblLayout w:type="fixed"/>
        <w:tblCellMar>
          <w:left w:w="62" w:type="dxa"/>
          <w:right w:w="62" w:type="dxa"/>
        </w:tblCellMar>
        <w:tblLook w:val="0000"/>
      </w:tblPr>
      <w:tblGrid>
        <w:gridCol w:w="9497"/>
      </w:tblGrid>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46D3">
            <w:pPr>
              <w:pStyle w:val="BodyText"/>
              <w:rPr>
                <w:lang w:val="en-NZ"/>
              </w:rPr>
            </w:pPr>
            <w:r w:rsidRPr="00E246D3">
              <w:t xml:space="preserve">Evidence required to demonstrate competence in this unit must be relevant to and satisfy all of the requirements of the elements, performance criteria and range of conditions and include knowledge of: </w:t>
            </w:r>
          </w:p>
        </w:tc>
      </w:tr>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6D3" w:rsidP="00E246D3">
            <w:pPr>
              <w:pStyle w:val="ListBullet"/>
            </w:pPr>
            <w:r w:rsidRPr="00E246D3">
              <w:t>equipment and procedures for working with refrigeran</w:t>
            </w:r>
            <w:r w:rsidRPr="00E246D3">
              <w:t xml:space="preserve">ts, including: </w:t>
            </w:r>
          </w:p>
          <w:p w:rsidR="00000000" w:rsidRPr="00E246D3" w:rsidP="00E246D3">
            <w:pPr>
              <w:pStyle w:val="ListBullet2"/>
            </w:pPr>
            <w:r w:rsidRPr="00E246D3">
              <w:t>charging refrigerant into a newly installed split system detecting refrigerant leaks (electronic, bubbles and halide for R22)</w:t>
            </w:r>
          </w:p>
          <w:p w:rsidR="00000000" w:rsidRPr="00E246D3" w:rsidP="00E246D3">
            <w:pPr>
              <w:pStyle w:val="ListBullet2"/>
            </w:pPr>
            <w:r w:rsidRPr="00E246D3">
              <w:t>contaminant detection and removal</w:t>
            </w:r>
          </w:p>
          <w:p w:rsidR="00000000" w:rsidRPr="00E246D3" w:rsidP="00E246D3">
            <w:pPr>
              <w:pStyle w:val="ListBullet2"/>
            </w:pPr>
            <w:r w:rsidRPr="00E246D3">
              <w:t xml:space="preserve">evacuating newly installed split systems </w:t>
            </w:r>
          </w:p>
          <w:p w:rsidR="00000000" w:rsidRPr="00E246D3" w:rsidP="00E246D3">
            <w:pPr>
              <w:pStyle w:val="ListBullet2"/>
            </w:pPr>
            <w:r w:rsidRPr="00E246D3">
              <w:t>pressure testing systems newly installed split systems using dry nitrogen</w:t>
            </w:r>
          </w:p>
          <w:p w:rsidR="00000000" w:rsidRPr="00E246D3" w:rsidP="00E246D3">
            <w:pPr>
              <w:pStyle w:val="ListBullet2"/>
            </w:pPr>
            <w:r w:rsidRPr="00E246D3">
              <w:t xml:space="preserve">reclaiming/recovering refrigerants using recovery units and recovery cylinders </w:t>
            </w:r>
          </w:p>
          <w:p w:rsidR="00000000" w:rsidRPr="00E246D3" w:rsidP="00E246D3">
            <w:pPr>
              <w:pStyle w:val="ListBullet"/>
            </w:pPr>
            <w:r w:rsidRPr="00E246D3">
              <w:t>heat and heat transfer</w:t>
            </w:r>
          </w:p>
          <w:p w:rsidR="00000000" w:rsidRPr="00E246D3" w:rsidP="00E246D3">
            <w:pPr>
              <w:pStyle w:val="ListBullet"/>
            </w:pPr>
            <w:r w:rsidRPr="00E246D3">
              <w:t xml:space="preserve">leak detectors types, applications, operation and procedures </w:t>
            </w:r>
          </w:p>
          <w:p w:rsidR="00000000" w:rsidRPr="00E246D3" w:rsidP="00E246D3">
            <w:pPr>
              <w:pStyle w:val="ListBullet"/>
            </w:pPr>
            <w:r w:rsidRPr="00E246D3">
              <w:t xml:space="preserve">manifold gauges </w:t>
            </w:r>
            <w:r w:rsidRPr="00E246D3">
              <w:t>types, applications, operation and procedures</w:t>
            </w:r>
          </w:p>
          <w:p w:rsidR="00000000" w:rsidRPr="00E246D3" w:rsidP="00E246D3">
            <w:pPr>
              <w:pStyle w:val="ListBullet"/>
            </w:pPr>
            <w:r w:rsidRPr="00E246D3">
              <w:t>pressure temperature relationships and charts</w:t>
            </w:r>
          </w:p>
          <w:p w:rsidR="00000000" w:rsidRPr="00E246D3" w:rsidP="00E246D3">
            <w:pPr>
              <w:pStyle w:val="ListBullet"/>
            </w:pPr>
            <w:r w:rsidRPr="00E246D3">
              <w:t>pressure, units and measurement</w:t>
            </w:r>
          </w:p>
          <w:p w:rsidR="00000000" w:rsidRPr="00E246D3" w:rsidP="00E246D3">
            <w:pPr>
              <w:pStyle w:val="ListBullet"/>
            </w:pPr>
            <w:r w:rsidRPr="00E246D3">
              <w:t>refrigerant conditions, including saturation, superheat and sub-cooling</w:t>
            </w:r>
          </w:p>
          <w:p w:rsidR="00000000" w:rsidRPr="00E246D3" w:rsidP="00E246D3">
            <w:pPr>
              <w:pStyle w:val="ListBullet"/>
            </w:pPr>
            <w:r w:rsidRPr="00E246D3">
              <w:t>relative humidity, unit and measurement</w:t>
            </w:r>
          </w:p>
          <w:p w:rsidR="00000000" w:rsidRPr="00E246D3" w:rsidP="00E246D3">
            <w:pPr>
              <w:pStyle w:val="ListBullet"/>
            </w:pPr>
            <w:r w:rsidRPr="00E246D3">
              <w:t>relevant industry st</w:t>
            </w:r>
            <w:r w:rsidRPr="00E246D3">
              <w:t>andards, codes of practice and regulations, including WHS/OHS legislated requirements</w:t>
            </w:r>
          </w:p>
          <w:p w:rsidR="00000000" w:rsidRPr="00E246D3" w:rsidP="00E246D3">
            <w:pPr>
              <w:pStyle w:val="ListBullet"/>
            </w:pPr>
            <w:r w:rsidRPr="00E246D3">
              <w:t>relevant manufacturer specifications</w:t>
            </w:r>
          </w:p>
          <w:p w:rsidR="00000000" w:rsidRPr="00E246D3" w:rsidP="00E246D3">
            <w:pPr>
              <w:pStyle w:val="ListBullet"/>
            </w:pPr>
            <w:r w:rsidRPr="00E246D3">
              <w:t>relevant risk mitigation processes, including risk control measures</w:t>
            </w:r>
          </w:p>
          <w:p w:rsidR="00000000" w:rsidRPr="00E246D3" w:rsidP="00E246D3">
            <w:pPr>
              <w:pStyle w:val="ListBullet"/>
            </w:pPr>
            <w:r w:rsidRPr="00E246D3">
              <w:t xml:space="preserve">safe working practices, safe handling and SDS/MSDS </w:t>
            </w:r>
          </w:p>
          <w:p w:rsidR="00000000" w:rsidRPr="00E246D3" w:rsidP="00E246D3">
            <w:pPr>
              <w:pStyle w:val="ListBullet"/>
            </w:pPr>
            <w:r w:rsidRPr="00E246D3">
              <w:t>sensible and latent heat</w:t>
            </w:r>
          </w:p>
          <w:p w:rsidR="00000000" w:rsidRPr="00E246D3" w:rsidP="00E246D3">
            <w:pPr>
              <w:pStyle w:val="ListBullet"/>
            </w:pPr>
            <w:r w:rsidRPr="00E246D3">
              <w:t>split heat pump Class A1, A2 and A2L refrigerant types, properties and applications</w:t>
            </w:r>
          </w:p>
          <w:p w:rsidR="00000000" w:rsidRPr="00E246D3" w:rsidP="00E246D3">
            <w:pPr>
              <w:pStyle w:val="ListBullet"/>
            </w:pPr>
            <w:r w:rsidRPr="00E246D3">
              <w:t>split heat pump refrigerant oil types, properties and applications</w:t>
            </w:r>
          </w:p>
          <w:p w:rsidR="00000000" w:rsidRPr="00E246D3" w:rsidP="00E246D3">
            <w:pPr>
              <w:pStyle w:val="ListBullet"/>
            </w:pPr>
            <w:r w:rsidRPr="00E246D3">
              <w:t xml:space="preserve">sustainable energy principles and practices, including: </w:t>
            </w:r>
          </w:p>
          <w:p w:rsidR="00000000" w:rsidRPr="00E246D3" w:rsidP="00E246D3">
            <w:pPr>
              <w:pStyle w:val="ListBullet2"/>
            </w:pPr>
            <w:r w:rsidRPr="00E246D3">
              <w:t>environment protection</w:t>
            </w:r>
            <w:r w:rsidRPr="00E246D3">
              <w:t xml:space="preserve"> requirements </w:t>
            </w:r>
          </w:p>
          <w:p w:rsidR="00000000" w:rsidRPr="00E246D3" w:rsidP="00E246D3">
            <w:pPr>
              <w:pStyle w:val="ListBullet2"/>
            </w:pPr>
            <w:r w:rsidRPr="00E246D3">
              <w:t xml:space="preserve">sustainable energy practices </w:t>
            </w:r>
          </w:p>
          <w:p w:rsidR="00000000" w:rsidRPr="00E246D3" w:rsidP="00E246D3">
            <w:pPr>
              <w:pStyle w:val="ListBullet2"/>
            </w:pPr>
            <w:r w:rsidRPr="00E246D3">
              <w:t>sustainable resources</w:t>
            </w:r>
          </w:p>
          <w:p w:rsidR="00000000" w:rsidRPr="00E246D3" w:rsidP="00E246D3">
            <w:pPr>
              <w:pStyle w:val="ListBullet"/>
            </w:pPr>
            <w:r w:rsidRPr="00E246D3">
              <w:t>system access fittings types, applications, operation and procedures</w:t>
            </w:r>
          </w:p>
          <w:p w:rsidR="00000000" w:rsidRPr="00E246D3" w:rsidP="00E246D3">
            <w:pPr>
              <w:pStyle w:val="ListBullet"/>
            </w:pPr>
            <w:r w:rsidRPr="00E246D3">
              <w:t>temperature, units and measurement</w:t>
            </w:r>
          </w:p>
          <w:p w:rsidR="00000000" w:rsidRPr="00E246D3" w:rsidP="00E246D3">
            <w:pPr>
              <w:pStyle w:val="ListBullet"/>
            </w:pPr>
            <w:r w:rsidRPr="00E246D3">
              <w:t>vapour compression cycle, basic operation and major system components.</w:t>
            </w:r>
          </w:p>
        </w:tc>
      </w:tr>
    </w:tbl>
    <w:p w:rsidR="00000000" w:rsidRPr="00E246D3" w:rsidP="00E246D3">
      <w:pPr>
        <w:pStyle w:val="NoPaddingFontSize1"/>
      </w:pPr>
    </w:p>
    <w:p w:rsidR="00000000" w:rsidRPr="00E246D3" w:rsidP="00E246D3">
      <w:pPr>
        <w:pStyle w:val="AllowPageBreak"/>
      </w:pPr>
    </w:p>
    <w:p w:rsidR="00000000" w:rsidRPr="00E246D3" w:rsidP="00E246D3">
      <w:pPr>
        <w:pStyle w:val="Heading1"/>
      </w:pPr>
      <w:bookmarkStart w:id="4" w:name="O_1078843"/>
      <w:bookmarkEnd w:id="4"/>
      <w:r w:rsidRPr="00E246D3">
        <w:t>Assessment Conditions</w:t>
      </w:r>
    </w:p>
    <w:tbl>
      <w:tblPr>
        <w:tblW w:w="9497" w:type="dxa"/>
        <w:tblLayout w:type="fixed"/>
        <w:tblCellMar>
          <w:left w:w="62" w:type="dxa"/>
          <w:right w:w="62" w:type="dxa"/>
        </w:tblCellMar>
        <w:tblLook w:val="0000"/>
      </w:tblPr>
      <w:tblGrid>
        <w:gridCol w:w="9497"/>
      </w:tblGrid>
      <w:tr w:rsidTr="00E246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46D3" w:rsidP="00E246D3">
            <w:pPr>
              <w:pStyle w:val="BodyText"/>
            </w:pPr>
            <w:r w:rsidRPr="00E246D3">
              <w:t xml:space="preserve">Assessors must hold credentials specified within the Standards for Registered Training </w:t>
            </w:r>
            <w:r w:rsidRPr="00E246D3">
              <w:t xml:space="preserve">Organisations current at the time of assessment. </w:t>
            </w:r>
          </w:p>
          <w:p w:rsidR="00000000" w:rsidRPr="00E246D3" w:rsidP="00E246D3">
            <w:pPr>
              <w:pStyle w:val="BodyText"/>
            </w:pPr>
            <w:r w:rsidRPr="00E246D3">
              <w:t>Assessment must satisfy the Principles of Assessment and Rules of Evidence and all regul</w:t>
            </w:r>
            <w:r w:rsidRPr="00E246D3">
              <w:t xml:space="preserve">atory requirements included within the Standards for Registered Training Organisations current at the time of assessment. </w:t>
            </w:r>
          </w:p>
          <w:p w:rsidR="00000000" w:rsidRPr="00E246D3" w:rsidP="00E246D3">
            <w:pPr>
              <w:pStyle w:val="BodyText"/>
            </w:pPr>
            <w:r w:rsidRPr="00E246D3">
              <w:t>Assessment must occur in workplace operational situations where it is appropriate to do so; where this is not appropriate, assessment</w:t>
            </w:r>
            <w:r w:rsidRPr="00E246D3">
              <w:t xml:space="preserve"> must occur in simulated workplace operational situations that replicate workplace conditions.</w:t>
            </w:r>
          </w:p>
          <w:p w:rsidR="00000000" w:rsidRPr="00E246D3" w:rsidP="00E246D3">
            <w:pPr>
              <w:pStyle w:val="BodyText"/>
            </w:pPr>
            <w:r w:rsidRPr="00E246D3">
              <w:t>Assessment processes and techniques must be appropriate to the language, literacy and numeracy requirements of the work being performed and the needs of the cand</w:t>
            </w:r>
            <w:r w:rsidRPr="00E246D3">
              <w:t>idate.</w:t>
            </w:r>
          </w:p>
          <w:p w:rsidR="00000000" w:rsidRPr="00E246D3" w:rsidP="00E246D3">
            <w:pPr>
              <w:pStyle w:val="BodyText"/>
            </w:pPr>
            <w:r w:rsidRPr="00E246D3">
              <w:t>Resources for assessment must include access to:</w:t>
            </w:r>
          </w:p>
          <w:p w:rsidR="00000000" w:rsidRPr="00E246D3" w:rsidP="00E246D3">
            <w:pPr>
              <w:pStyle w:val="ListBullet"/>
            </w:pPr>
            <w:r w:rsidRPr="00E246D3">
              <w:t>a range of relevant exercises, case studies and/or other simulations</w:t>
            </w:r>
          </w:p>
          <w:p w:rsidR="00000000" w:rsidRPr="00E246D3" w:rsidP="00E246D3">
            <w:pPr>
              <w:pStyle w:val="ListBullet"/>
            </w:pPr>
            <w:r w:rsidRPr="00E246D3">
              <w:t xml:space="preserve">relevant and appropriate materials, tools, equipment and PPE currently used in industry </w:t>
            </w:r>
          </w:p>
          <w:p w:rsidR="00000000" w:rsidRPr="00E246D3" w:rsidP="00E246D3">
            <w:pPr>
              <w:pStyle w:val="ListBullet"/>
            </w:pPr>
            <w:r w:rsidRPr="00E246D3">
              <w:t>applicable documentation, including workp</w:t>
            </w:r>
            <w:r w:rsidRPr="00E246D3">
              <w:t>lace procedures, industry standards, equipment specifications, regulations, codes of practice and operation manuals.</w:t>
            </w:r>
          </w:p>
        </w:tc>
      </w:tr>
    </w:tbl>
    <w:p w:rsidR="00000000" w:rsidRPr="00E246D3" w:rsidP="00E246D3">
      <w:pPr>
        <w:pStyle w:val="NoPaddingFontSize1"/>
      </w:pPr>
    </w:p>
    <w:p w:rsidR="00000000" w:rsidRPr="00E246D3" w:rsidP="00E246D3">
      <w:pPr>
        <w:pStyle w:val="AllowPageBreak"/>
      </w:pPr>
    </w:p>
    <w:p w:rsidR="00000000" w:rsidRPr="00E246D3" w:rsidP="00E246D3">
      <w:pPr>
        <w:pStyle w:val="Heading1"/>
      </w:pPr>
      <w:bookmarkStart w:id="5" w:name="O_1078846"/>
      <w:bookmarkEnd w:id="5"/>
      <w:r w:rsidRPr="00E246D3">
        <w:t>Links</w:t>
      </w:r>
    </w:p>
    <w:p w:rsidR="00000000" w:rsidRPr="00E246D3" w:rsidP="006730BC">
      <w:pPr>
        <w:pStyle w:val="BodyText"/>
      </w:pPr>
      <w:r w:rsidRPr="00E246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66287">
        <w:rPr>
          <w:rStyle w:val="Hyperlink"/>
        </w:rPr>
        <w:t>https://vetnet.gov.au/Pages/TrainingDocs.aspx?q=b8a8f136-5421-4ce1-92e0-2b50341431b6</w:t>
      </w:r>
      <w:r>
        <w:fldChar w:fldCharType="end"/>
      </w:r>
    </w:p>
    <w:p w:rsidR="00000000" w:rsidRPr="00E246D3" w:rsidP="00E246D3"/>
    <w:sectPr w:rsidSect="00E246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D3" w:rsidRPr="006730BC" w:rsidP="00673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BC" w:rsidP="00E24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30BC" w:rsidP="00E246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730BC" w:rsidP="00E24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6D3" w:rsidRPr="006730BC" w:rsidP="00673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BC" w:rsidRPr="002D2AF8" w:rsidP="00E246D3">
    <w:pPr>
      <w:pStyle w:val="Header"/>
      <w:framePr w:wrap="around"/>
    </w:pPr>
    <w:r>
      <w:fldChar w:fldCharType="begin"/>
    </w:r>
    <w:r>
      <w:instrText xml:space="preserve"> TITLE   \* MERGEFORMAT </w:instrText>
    </w:r>
    <w:r>
      <w:fldChar w:fldCharType="separate"/>
    </w:r>
    <w:r>
      <w:t>Assessment Requirements for UEERA0064 Recover, pressure test, evacuate, charge and leak test refrigerants - split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730BC" w:rsidP="00E24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A6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8B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07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6D3"/>
    <w:pPr>
      <w:spacing w:before="360" w:after="60"/>
      <w:outlineLvl w:val="0"/>
    </w:pPr>
    <w:rPr>
      <w:sz w:val="32"/>
    </w:rPr>
  </w:style>
  <w:style w:type="paragraph" w:styleId="Heading2">
    <w:name w:val="heading 2"/>
    <w:basedOn w:val="HeadingBase"/>
    <w:next w:val="BodyText"/>
    <w:link w:val="Heading2Char"/>
    <w:qFormat/>
    <w:rsid w:val="00E246D3"/>
    <w:pPr>
      <w:keepLines/>
      <w:spacing w:before="240" w:after="120"/>
      <w:outlineLvl w:val="1"/>
    </w:pPr>
    <w:rPr>
      <w:sz w:val="28"/>
      <w:szCs w:val="40"/>
    </w:rPr>
  </w:style>
  <w:style w:type="paragraph" w:styleId="Heading3">
    <w:name w:val="heading 3"/>
    <w:basedOn w:val="HeadingBase"/>
    <w:next w:val="BodyText"/>
    <w:link w:val="Heading3Char"/>
    <w:qFormat/>
    <w:rsid w:val="00E246D3"/>
    <w:pPr>
      <w:spacing w:before="180" w:after="120"/>
      <w:outlineLvl w:val="2"/>
    </w:pPr>
    <w:rPr>
      <w:spacing w:val="-10"/>
      <w:kern w:val="32"/>
    </w:rPr>
  </w:style>
  <w:style w:type="paragraph" w:styleId="Heading4">
    <w:name w:val="heading 4"/>
    <w:basedOn w:val="HeadingBase"/>
    <w:next w:val="BodyText"/>
    <w:link w:val="Heading4Char"/>
    <w:qFormat/>
    <w:rsid w:val="00E246D3"/>
    <w:pPr>
      <w:spacing w:before="160" w:after="120"/>
      <w:outlineLvl w:val="3"/>
    </w:pPr>
    <w:rPr>
      <w:sz w:val="22"/>
    </w:rPr>
  </w:style>
  <w:style w:type="paragraph" w:styleId="Heading5">
    <w:name w:val="heading 5"/>
    <w:basedOn w:val="HeadingBase"/>
    <w:next w:val="Normal"/>
    <w:link w:val="Heading5Char"/>
    <w:qFormat/>
    <w:rsid w:val="00E246D3"/>
    <w:pPr>
      <w:spacing w:before="80"/>
      <w:outlineLvl w:val="4"/>
    </w:pPr>
    <w:rPr>
      <w:color w:val="918585"/>
      <w:sz w:val="20"/>
    </w:rPr>
  </w:style>
  <w:style w:type="paragraph" w:styleId="Heading6">
    <w:name w:val="heading 6"/>
    <w:basedOn w:val="HeadingBase"/>
    <w:next w:val="Normal"/>
    <w:link w:val="Heading6Char"/>
    <w:qFormat/>
    <w:rsid w:val="00E246D3"/>
    <w:pPr>
      <w:spacing w:before="60"/>
      <w:outlineLvl w:val="5"/>
    </w:pPr>
    <w:rPr>
      <w:color w:val="918585"/>
      <w:sz w:val="20"/>
    </w:rPr>
  </w:style>
  <w:style w:type="paragraph" w:styleId="Heading7">
    <w:name w:val="heading 7"/>
    <w:basedOn w:val="Normal"/>
    <w:next w:val="Normal"/>
    <w:link w:val="Heading7Char"/>
    <w:qFormat/>
    <w:rsid w:val="00E246D3"/>
    <w:pPr>
      <w:ind w:left="720"/>
      <w:outlineLvl w:val="6"/>
    </w:pPr>
    <w:rPr>
      <w:i/>
    </w:rPr>
  </w:style>
  <w:style w:type="paragraph" w:styleId="Heading8">
    <w:name w:val="heading 8"/>
    <w:basedOn w:val="Normal"/>
    <w:next w:val="Normal"/>
    <w:link w:val="Heading8Char"/>
    <w:qFormat/>
    <w:rsid w:val="00E246D3"/>
    <w:pPr>
      <w:ind w:left="720"/>
      <w:outlineLvl w:val="7"/>
    </w:pPr>
    <w:rPr>
      <w:i/>
    </w:rPr>
  </w:style>
  <w:style w:type="paragraph" w:styleId="Heading9">
    <w:name w:val="heading 9"/>
    <w:basedOn w:val="Normal"/>
    <w:next w:val="Normal"/>
    <w:link w:val="Heading9Char"/>
    <w:qFormat/>
    <w:rsid w:val="00E246D3"/>
    <w:pPr>
      <w:ind w:left="720"/>
      <w:outlineLvl w:val="8"/>
    </w:pPr>
    <w:rPr>
      <w:i/>
    </w:rPr>
  </w:style>
  <w:style w:type="character" w:default="1" w:styleId="DefaultParagraphFont">
    <w:name w:val="Default Paragraph Font"/>
    <w:uiPriority w:val="1"/>
    <w:unhideWhenUsed/>
    <w:rsid w:val="00E24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6D3"/>
  </w:style>
  <w:style w:type="character" w:customStyle="1" w:styleId="Heading1Char">
    <w:name w:val="Heading 1 Char"/>
    <w:basedOn w:val="DefaultParagraphFont"/>
    <w:link w:val="Heading1"/>
    <w:rsid w:val="00E246D3"/>
    <w:rPr>
      <w:rFonts w:ascii="Times New Roman" w:eastAsia="Times New Roman" w:hAnsi="Times New Roman" w:cs="Times New Roman"/>
      <w:b/>
      <w:sz w:val="32"/>
      <w:szCs w:val="20"/>
      <w:lang w:eastAsia="en-US"/>
    </w:rPr>
  </w:style>
  <w:style w:type="paragraph" w:styleId="BodyText">
    <w:name w:val="Body Text"/>
    <w:basedOn w:val="Normal"/>
    <w:link w:val="BodyTextChar"/>
    <w:rsid w:val="00E24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6D3"/>
    <w:rPr>
      <w:rFonts w:ascii="Times New Roman" w:eastAsia="Times New Roman" w:hAnsi="Times New Roman" w:cs="Times New Roman"/>
      <w:sz w:val="24"/>
      <w:lang w:eastAsia="en-US"/>
    </w:rPr>
  </w:style>
  <w:style w:type="paragraph" w:styleId="ListBullet">
    <w:name w:val="List Bullet"/>
    <w:basedOn w:val="List"/>
    <w:rsid w:val="00E246D3"/>
    <w:pPr>
      <w:numPr>
        <w:numId w:val="12"/>
      </w:numPr>
      <w:tabs>
        <w:tab w:val="clear" w:pos="340"/>
      </w:tabs>
      <w:spacing w:before="40" w:after="40"/>
    </w:pPr>
  </w:style>
  <w:style w:type="paragraph" w:styleId="ListBullet2">
    <w:name w:val="List Bullet 2"/>
    <w:basedOn w:val="List2"/>
    <w:rsid w:val="00E246D3"/>
    <w:pPr>
      <w:numPr>
        <w:numId w:val="13"/>
      </w:numPr>
      <w:tabs>
        <w:tab w:val="clear" w:pos="680"/>
      </w:tabs>
    </w:pPr>
  </w:style>
  <w:style w:type="paragraph" w:customStyle="1" w:styleId="SuperHeading">
    <w:name w:val="SuperHeading"/>
    <w:basedOn w:val="Normal"/>
    <w:rsid w:val="00E246D3"/>
    <w:pPr>
      <w:spacing w:before="240" w:after="120"/>
      <w:outlineLvl w:val="0"/>
    </w:pPr>
    <w:rPr>
      <w:rFonts w:ascii="Times New Roman" w:hAnsi="Times New Roman"/>
      <w:b/>
      <w:sz w:val="32"/>
    </w:rPr>
  </w:style>
  <w:style w:type="paragraph" w:customStyle="1" w:styleId="AllowPageBreak">
    <w:name w:val="AllowPageBreak"/>
    <w:rsid w:val="00E246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4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6D3"/>
    <w:rPr>
      <w:rFonts w:ascii="Courier New" w:eastAsia="Times New Roman" w:hAnsi="Courier New" w:cs="Times New Roman"/>
      <w:i/>
      <w:szCs w:val="20"/>
      <w:lang w:eastAsia="en-US"/>
    </w:rPr>
  </w:style>
  <w:style w:type="paragraph" w:customStyle="1" w:styleId="HeadingBase">
    <w:name w:val="Heading Base"/>
    <w:rsid w:val="00E24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6D3"/>
    <w:pPr>
      <w:tabs>
        <w:tab w:val="right" w:leader="dot" w:pos="9072"/>
      </w:tabs>
      <w:ind w:left="567"/>
    </w:pPr>
    <w:rPr>
      <w:szCs w:val="22"/>
    </w:rPr>
  </w:style>
  <w:style w:type="paragraph" w:customStyle="1" w:styleId="TOCBase">
    <w:name w:val="TOC Base"/>
    <w:rsid w:val="00E24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6D3"/>
    <w:pPr>
      <w:tabs>
        <w:tab w:val="right" w:leader="dot" w:pos="9072"/>
      </w:tabs>
      <w:spacing w:before="40" w:after="40"/>
      <w:ind w:left="284"/>
    </w:pPr>
    <w:rPr>
      <w:rFonts w:ascii="Times New Roman" w:hAnsi="Times New Roman"/>
    </w:rPr>
  </w:style>
  <w:style w:type="paragraph" w:styleId="TOC1">
    <w:name w:val="toc 1"/>
    <w:basedOn w:val="TOCBase"/>
    <w:next w:val="Normal"/>
    <w:rsid w:val="00E24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6D3"/>
    <w:rPr>
      <w:rFonts w:ascii="Times New Roman" w:eastAsia="Times New Roman" w:hAnsi="Times New Roman" w:cs="Times New Roman"/>
      <w:sz w:val="16"/>
      <w:lang w:eastAsia="en-US"/>
    </w:rPr>
  </w:style>
  <w:style w:type="paragraph" w:styleId="Title">
    <w:name w:val="Title"/>
    <w:basedOn w:val="HeadingBase"/>
    <w:link w:val="TitleChar"/>
    <w:qFormat/>
    <w:rsid w:val="00E246D3"/>
    <w:pPr>
      <w:spacing w:before="5040"/>
      <w:jc w:val="center"/>
    </w:pPr>
    <w:rPr>
      <w:sz w:val="48"/>
      <w:szCs w:val="72"/>
      <w:lang w:val="en-US"/>
    </w:rPr>
  </w:style>
  <w:style w:type="character" w:customStyle="1" w:styleId="TitleChar">
    <w:name w:val="Title Char"/>
    <w:basedOn w:val="DefaultParagraphFont"/>
    <w:link w:val="Title"/>
    <w:rsid w:val="00E24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6D3"/>
    <w:pPr>
      <w:tabs>
        <w:tab w:val="left" w:pos="3600"/>
        <w:tab w:val="left" w:pos="3958"/>
      </w:tabs>
    </w:pPr>
  </w:style>
  <w:style w:type="paragraph" w:styleId="List">
    <w:name w:val="List"/>
    <w:basedOn w:val="BodyText"/>
    <w:next w:val="BodyText"/>
    <w:rsid w:val="00E246D3"/>
    <w:pPr>
      <w:tabs>
        <w:tab w:val="left" w:pos="340"/>
      </w:tabs>
      <w:spacing w:before="60" w:after="60"/>
      <w:ind w:left="340" w:hanging="340"/>
    </w:pPr>
  </w:style>
  <w:style w:type="paragraph" w:customStyle="1" w:styleId="Note">
    <w:name w:val="Note"/>
    <w:basedOn w:val="BodyText"/>
    <w:rsid w:val="00E24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46D3"/>
    <w:rPr>
      <w:b/>
      <w:spacing w:val="0"/>
    </w:rPr>
  </w:style>
  <w:style w:type="paragraph" w:customStyle="1" w:styleId="SuperTitle">
    <w:name w:val="SuperTitle"/>
    <w:basedOn w:val="Title"/>
    <w:rsid w:val="00E246D3"/>
    <w:pPr>
      <w:framePr w:wrap="auto" w:hAnchor="text" w:y="6049"/>
    </w:pPr>
    <w:rPr>
      <w:color w:val="000000"/>
      <w:sz w:val="40"/>
    </w:rPr>
  </w:style>
  <w:style w:type="paragraph" w:customStyle="1" w:styleId="TOCTitle">
    <w:name w:val="TOCTitle"/>
    <w:basedOn w:val="Heading1"/>
    <w:rsid w:val="00E246D3"/>
    <w:pPr>
      <w:spacing w:after="240"/>
      <w:jc w:val="center"/>
      <w:outlineLvl w:val="9"/>
    </w:pPr>
    <w:rPr>
      <w:caps/>
    </w:rPr>
  </w:style>
  <w:style w:type="paragraph" w:customStyle="1" w:styleId="Version">
    <w:name w:val="Version"/>
    <w:rsid w:val="00E24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6D3"/>
    <w:pPr>
      <w:keepNext w:val="0"/>
      <w:tabs>
        <w:tab w:val="right" w:pos="4176"/>
      </w:tabs>
      <w:ind w:left="198" w:hanging="198"/>
    </w:pPr>
    <w:rPr>
      <w:rFonts w:ascii="Garamond" w:hAnsi="Garamond"/>
    </w:rPr>
  </w:style>
  <w:style w:type="paragraph" w:styleId="IndexHeading">
    <w:name w:val="index heading"/>
    <w:basedOn w:val="Normal"/>
    <w:next w:val="Index1"/>
    <w:semiHidden/>
    <w:rsid w:val="00E246D3"/>
    <w:pPr>
      <w:spacing w:before="120" w:after="120"/>
    </w:pPr>
    <w:rPr>
      <w:rFonts w:ascii="Arial" w:hAnsi="Arial"/>
      <w:b/>
      <w:color w:val="918585"/>
      <w:sz w:val="24"/>
    </w:rPr>
  </w:style>
  <w:style w:type="paragraph" w:styleId="Header">
    <w:name w:val="header"/>
    <w:basedOn w:val="Normal"/>
    <w:link w:val="HeaderChar"/>
    <w:rsid w:val="00E24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6D3"/>
    <w:rPr>
      <w:rFonts w:ascii="Times New Roman" w:eastAsia="Times New Roman" w:hAnsi="Times New Roman" w:cs="Times New Roman"/>
      <w:sz w:val="16"/>
      <w:szCs w:val="20"/>
      <w:lang w:val="en-GB" w:eastAsia="en-US"/>
    </w:rPr>
  </w:style>
  <w:style w:type="paragraph" w:customStyle="1" w:styleId="Chapter">
    <w:name w:val="Chapter"/>
    <w:basedOn w:val="Normal"/>
    <w:rsid w:val="00E246D3"/>
    <w:pPr>
      <w:spacing w:before="240"/>
    </w:pPr>
    <w:rPr>
      <w:rFonts w:ascii="Times New Roman" w:hAnsi="Times New Roman"/>
      <w:smallCaps/>
      <w:spacing w:val="80"/>
      <w:sz w:val="28"/>
    </w:rPr>
  </w:style>
  <w:style w:type="paragraph" w:customStyle="1" w:styleId="InChapter">
    <w:name w:val="InChapter"/>
    <w:basedOn w:val="Heading3"/>
    <w:rsid w:val="00E246D3"/>
    <w:pPr>
      <w:spacing w:after="240"/>
      <w:outlineLvl w:val="9"/>
    </w:pPr>
    <w:rPr>
      <w:noProof/>
    </w:rPr>
  </w:style>
  <w:style w:type="paragraph" w:styleId="Index2">
    <w:name w:val="index 2"/>
    <w:basedOn w:val="Normal"/>
    <w:next w:val="Normal"/>
    <w:semiHidden/>
    <w:rsid w:val="00E246D3"/>
    <w:pPr>
      <w:tabs>
        <w:tab w:val="right" w:pos="4176"/>
      </w:tabs>
      <w:ind w:left="568" w:hanging="284"/>
    </w:pPr>
    <w:rPr>
      <w:rFonts w:ascii="Garamond" w:hAnsi="Garamond"/>
    </w:rPr>
  </w:style>
  <w:style w:type="paragraph" w:customStyle="1" w:styleId="Byline">
    <w:name w:val="Byline"/>
    <w:rsid w:val="00E24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6D3"/>
    <w:pPr>
      <w:tabs>
        <w:tab w:val="clear" w:pos="3600"/>
        <w:tab w:val="clear" w:pos="3958"/>
      </w:tabs>
      <w:jc w:val="right"/>
    </w:pPr>
  </w:style>
  <w:style w:type="character" w:styleId="Emphasis">
    <w:name w:val="Emphasis"/>
    <w:basedOn w:val="DefaultParagraphFont"/>
    <w:qFormat/>
    <w:rsid w:val="00E246D3"/>
    <w:rPr>
      <w:i/>
    </w:rPr>
  </w:style>
  <w:style w:type="paragraph" w:styleId="Caption">
    <w:name w:val="caption"/>
    <w:basedOn w:val="BodyText"/>
    <w:next w:val="Normal"/>
    <w:qFormat/>
    <w:rsid w:val="00E246D3"/>
    <w:pPr>
      <w:framePr w:w="2268" w:hSpace="181" w:vSpace="181" w:wrap="around" w:vAnchor="text" w:hAnchor="page" w:x="1135" w:y="285" w:anchorLock="1"/>
    </w:pPr>
    <w:rPr>
      <w:i/>
    </w:rPr>
  </w:style>
  <w:style w:type="paragraph" w:customStyle="1" w:styleId="MiniTOCTitle">
    <w:name w:val="MiniTOCTitle"/>
    <w:basedOn w:val="Heading4"/>
    <w:rsid w:val="00E246D3"/>
    <w:pPr>
      <w:spacing w:before="240"/>
      <w:outlineLvl w:val="9"/>
    </w:pPr>
    <w:rPr>
      <w:noProof/>
      <w:sz w:val="24"/>
    </w:rPr>
  </w:style>
  <w:style w:type="paragraph" w:customStyle="1" w:styleId="MiniTOCItem">
    <w:name w:val="MiniTOCItem"/>
    <w:basedOn w:val="ListBullet"/>
    <w:rsid w:val="00E246D3"/>
    <w:pPr>
      <w:numPr>
        <w:numId w:val="0"/>
      </w:numPr>
      <w:tabs>
        <w:tab w:val="right" w:leader="dot" w:pos="6521"/>
      </w:tabs>
      <w:spacing w:before="0" w:after="0"/>
    </w:pPr>
  </w:style>
  <w:style w:type="paragraph" w:customStyle="1" w:styleId="TOFTitle">
    <w:name w:val="TOFTitle"/>
    <w:basedOn w:val="TOCTitle"/>
    <w:rsid w:val="00E246D3"/>
  </w:style>
  <w:style w:type="paragraph" w:styleId="TableofFigures">
    <w:name w:val="table of figures"/>
    <w:basedOn w:val="Normal"/>
    <w:next w:val="Normal"/>
    <w:semiHidden/>
    <w:rsid w:val="00E246D3"/>
    <w:pPr>
      <w:tabs>
        <w:tab w:val="right" w:leader="dot" w:pos="9072"/>
      </w:tabs>
      <w:ind w:left="970" w:hanging="403"/>
    </w:pPr>
    <w:rPr>
      <w:rFonts w:ascii="Times New Roman" w:hAnsi="Times New Roman"/>
      <w:b/>
    </w:rPr>
  </w:style>
  <w:style w:type="paragraph" w:styleId="ListNumber">
    <w:name w:val="List Number"/>
    <w:basedOn w:val="List"/>
    <w:rsid w:val="00E246D3"/>
    <w:pPr>
      <w:numPr>
        <w:numId w:val="15"/>
      </w:numPr>
      <w:tabs>
        <w:tab w:val="clear" w:pos="340"/>
      </w:tabs>
    </w:pPr>
  </w:style>
  <w:style w:type="character" w:customStyle="1" w:styleId="WingdingSymbols">
    <w:name w:val="Wingding Symbols"/>
    <w:rsid w:val="00E246D3"/>
    <w:rPr>
      <w:rFonts w:ascii="Wingdings" w:hAnsi="Wingdings"/>
    </w:rPr>
  </w:style>
  <w:style w:type="paragraph" w:customStyle="1" w:styleId="TableHeading">
    <w:name w:val="Table Heading"/>
    <w:basedOn w:val="HeadingBase"/>
    <w:rsid w:val="00E246D3"/>
    <w:pPr>
      <w:keepLines/>
      <w:pBdr>
        <w:bottom w:val="single" w:sz="6" w:space="1" w:color="918585"/>
      </w:pBdr>
      <w:spacing w:before="240"/>
    </w:pPr>
  </w:style>
  <w:style w:type="character" w:customStyle="1" w:styleId="HotSpot">
    <w:name w:val="HotSpot"/>
    <w:rsid w:val="00E246D3"/>
    <w:rPr>
      <w:color w:val="0033CC"/>
      <w:u w:val="none"/>
    </w:rPr>
  </w:style>
  <w:style w:type="paragraph" w:customStyle="1" w:styleId="BodyTextRight">
    <w:name w:val="Body Text Right"/>
    <w:basedOn w:val="BodyText"/>
    <w:rsid w:val="00E246D3"/>
    <w:pPr>
      <w:spacing w:before="0" w:after="0"/>
      <w:jc w:val="right"/>
    </w:pPr>
  </w:style>
  <w:style w:type="paragraph" w:styleId="Index3">
    <w:name w:val="index 3"/>
    <w:basedOn w:val="ListNumber2"/>
    <w:next w:val="Normal"/>
    <w:semiHidden/>
    <w:rsid w:val="00E246D3"/>
    <w:pPr>
      <w:numPr>
        <w:numId w:val="0"/>
      </w:numPr>
      <w:tabs>
        <w:tab w:val="right" w:leader="dot" w:pos="4176"/>
      </w:tabs>
    </w:pPr>
  </w:style>
  <w:style w:type="paragraph" w:styleId="ListNumber2">
    <w:name w:val="List Number 2"/>
    <w:basedOn w:val="List2"/>
    <w:rsid w:val="00E246D3"/>
    <w:pPr>
      <w:numPr>
        <w:numId w:val="10"/>
      </w:numPr>
      <w:tabs>
        <w:tab w:val="clear" w:pos="1060"/>
      </w:tabs>
    </w:pPr>
  </w:style>
  <w:style w:type="paragraph" w:customStyle="1" w:styleId="MarginNote">
    <w:name w:val="Margin Note"/>
    <w:basedOn w:val="BodyText"/>
    <w:rsid w:val="00E24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6D3"/>
    <w:rPr>
      <w:sz w:val="32"/>
    </w:rPr>
  </w:style>
  <w:style w:type="paragraph" w:customStyle="1" w:styleId="HeadingProcedure">
    <w:name w:val="Heading Procedure"/>
    <w:basedOn w:val="HeadingBase"/>
    <w:next w:val="Normal"/>
    <w:rsid w:val="00E246D3"/>
    <w:pPr>
      <w:tabs>
        <w:tab w:val="left" w:pos="0"/>
      </w:tabs>
      <w:spacing w:before="120" w:after="60"/>
    </w:pPr>
    <w:rPr>
      <w:i/>
      <w:color w:val="918585"/>
      <w:sz w:val="22"/>
    </w:rPr>
  </w:style>
  <w:style w:type="paragraph" w:customStyle="1" w:styleId="TableBodyText">
    <w:name w:val="Table Body Text"/>
    <w:basedOn w:val="BodyText"/>
    <w:rsid w:val="00E246D3"/>
    <w:pPr>
      <w:spacing w:before="60" w:after="60"/>
    </w:pPr>
  </w:style>
  <w:style w:type="paragraph" w:styleId="ListContinue">
    <w:name w:val="List Continue"/>
    <w:basedOn w:val="List"/>
    <w:rsid w:val="00E246D3"/>
    <w:pPr>
      <w:ind w:firstLine="0"/>
    </w:pPr>
  </w:style>
  <w:style w:type="paragraph" w:customStyle="1" w:styleId="ListNote">
    <w:name w:val="List Note"/>
    <w:basedOn w:val="List"/>
    <w:rsid w:val="00E246D3"/>
    <w:pPr>
      <w:pBdr>
        <w:top w:val="single" w:sz="6" w:space="2" w:color="918585"/>
        <w:bottom w:val="single" w:sz="6" w:space="2" w:color="918585"/>
      </w:pBdr>
      <w:tabs>
        <w:tab w:val="left" w:pos="1021"/>
      </w:tabs>
      <w:ind w:firstLine="0"/>
    </w:pPr>
  </w:style>
  <w:style w:type="paragraph" w:customStyle="1" w:styleId="Warning">
    <w:name w:val="Warning"/>
    <w:basedOn w:val="BodyText"/>
    <w:rsid w:val="00E246D3"/>
    <w:pPr>
      <w:shd w:val="clear" w:color="auto" w:fill="D9D9D9"/>
      <w:tabs>
        <w:tab w:val="left" w:pos="992"/>
      </w:tabs>
      <w:ind w:left="119" w:right="119"/>
    </w:pPr>
    <w:rPr>
      <w:sz w:val="20"/>
    </w:rPr>
  </w:style>
  <w:style w:type="paragraph" w:customStyle="1" w:styleId="MarginIcons">
    <w:name w:val="Margin Icons"/>
    <w:basedOn w:val="BodyText"/>
    <w:rsid w:val="00E24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6D3"/>
    <w:rPr>
      <w:rFonts w:ascii="Courier New" w:hAnsi="Courier New"/>
    </w:rPr>
  </w:style>
  <w:style w:type="paragraph" w:customStyle="1" w:styleId="NoteBullet">
    <w:name w:val="Note Bullet"/>
    <w:basedOn w:val="Note"/>
    <w:rsid w:val="00E246D3"/>
    <w:pPr>
      <w:tabs>
        <w:tab w:val="clear" w:pos="680"/>
      </w:tabs>
      <w:spacing w:before="60" w:after="60"/>
    </w:pPr>
  </w:style>
  <w:style w:type="paragraph" w:customStyle="1" w:styleId="SubHeading2">
    <w:name w:val="SubHeading2"/>
    <w:basedOn w:val="HeadingBase"/>
    <w:rsid w:val="00E246D3"/>
    <w:pPr>
      <w:spacing w:before="240" w:after="60"/>
    </w:pPr>
    <w:rPr>
      <w:sz w:val="20"/>
    </w:rPr>
  </w:style>
  <w:style w:type="paragraph" w:customStyle="1" w:styleId="SubHeading1">
    <w:name w:val="SubHeading1"/>
    <w:basedOn w:val="HeadingBase"/>
    <w:rsid w:val="00E246D3"/>
    <w:pPr>
      <w:spacing w:before="240" w:after="60"/>
    </w:pPr>
    <w:rPr>
      <w:color w:val="918585"/>
      <w:sz w:val="22"/>
    </w:rPr>
  </w:style>
  <w:style w:type="paragraph" w:customStyle="1" w:styleId="SideHeading">
    <w:name w:val="Side Heading"/>
    <w:basedOn w:val="HeadingBase"/>
    <w:rsid w:val="00E24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6D3"/>
    <w:pPr>
      <w:tabs>
        <w:tab w:val="num" w:pos="360"/>
      </w:tabs>
    </w:pPr>
  </w:style>
  <w:style w:type="paragraph" w:styleId="PlainText">
    <w:name w:val="Plain Text"/>
    <w:basedOn w:val="Normal"/>
    <w:link w:val="PlainTextChar"/>
    <w:rsid w:val="00E246D3"/>
    <w:rPr>
      <w:sz w:val="20"/>
    </w:rPr>
  </w:style>
  <w:style w:type="character" w:customStyle="1" w:styleId="PlainTextChar">
    <w:name w:val="Plain Text Char"/>
    <w:basedOn w:val="DefaultParagraphFont"/>
    <w:link w:val="PlainText"/>
    <w:rsid w:val="00E246D3"/>
    <w:rPr>
      <w:rFonts w:ascii="Courier New" w:eastAsia="Times New Roman" w:hAnsi="Courier New" w:cs="Times New Roman"/>
      <w:sz w:val="20"/>
      <w:szCs w:val="20"/>
      <w:lang w:eastAsia="en-US"/>
    </w:rPr>
  </w:style>
  <w:style w:type="character" w:customStyle="1" w:styleId="MenuOption">
    <w:name w:val="Menu Option"/>
    <w:basedOn w:val="DefaultParagraphFont"/>
    <w:rsid w:val="00E246D3"/>
    <w:rPr>
      <w:b/>
      <w:smallCaps/>
    </w:rPr>
  </w:style>
  <w:style w:type="paragraph" w:customStyle="1" w:styleId="TableListNumber">
    <w:name w:val="Table List Number"/>
    <w:basedOn w:val="ListNumber"/>
    <w:rsid w:val="00E246D3"/>
    <w:pPr>
      <w:numPr>
        <w:numId w:val="0"/>
      </w:numPr>
    </w:pPr>
  </w:style>
  <w:style w:type="paragraph" w:styleId="TOC4">
    <w:name w:val="toc 4"/>
    <w:basedOn w:val="TOCBase"/>
    <w:next w:val="Normal"/>
    <w:semiHidden/>
    <w:rsid w:val="00E246D3"/>
    <w:pPr>
      <w:tabs>
        <w:tab w:val="right" w:leader="dot" w:pos="9071"/>
      </w:tabs>
      <w:ind w:left="1701"/>
    </w:pPr>
  </w:style>
  <w:style w:type="paragraph" w:customStyle="1" w:styleId="ListAlpha">
    <w:name w:val="List Alpha"/>
    <w:basedOn w:val="List"/>
    <w:rsid w:val="00E246D3"/>
    <w:pPr>
      <w:numPr>
        <w:numId w:val="9"/>
      </w:numPr>
    </w:pPr>
  </w:style>
  <w:style w:type="paragraph" w:customStyle="1" w:styleId="ListAlpha2">
    <w:name w:val="List Alpha 2"/>
    <w:basedOn w:val="List2"/>
    <w:rsid w:val="00E246D3"/>
    <w:pPr>
      <w:numPr>
        <w:numId w:val="8"/>
      </w:numPr>
    </w:pPr>
  </w:style>
  <w:style w:type="paragraph" w:styleId="List2">
    <w:name w:val="List 2"/>
    <w:basedOn w:val="BodyText"/>
    <w:rsid w:val="00E246D3"/>
    <w:pPr>
      <w:tabs>
        <w:tab w:val="left" w:pos="680"/>
      </w:tabs>
      <w:spacing w:before="60" w:after="60"/>
      <w:ind w:left="680" w:hanging="340"/>
    </w:pPr>
  </w:style>
  <w:style w:type="paragraph" w:styleId="List3">
    <w:name w:val="List 3"/>
    <w:basedOn w:val="BodyText"/>
    <w:rsid w:val="00E246D3"/>
    <w:pPr>
      <w:tabs>
        <w:tab w:val="left" w:pos="1021"/>
      </w:tabs>
      <w:spacing w:before="60" w:after="60"/>
      <w:ind w:left="1020" w:hanging="340"/>
    </w:pPr>
  </w:style>
  <w:style w:type="paragraph" w:styleId="List4">
    <w:name w:val="List 4"/>
    <w:basedOn w:val="BodyText"/>
    <w:rsid w:val="00E246D3"/>
    <w:pPr>
      <w:tabs>
        <w:tab w:val="left" w:pos="1361"/>
      </w:tabs>
      <w:spacing w:before="60" w:after="60"/>
      <w:ind w:left="1361" w:hanging="340"/>
    </w:pPr>
  </w:style>
  <w:style w:type="paragraph" w:styleId="List5">
    <w:name w:val="List 5"/>
    <w:basedOn w:val="BodyText"/>
    <w:rsid w:val="00E246D3"/>
    <w:pPr>
      <w:tabs>
        <w:tab w:val="left" w:pos="1701"/>
      </w:tabs>
      <w:spacing w:before="60" w:after="60"/>
      <w:ind w:left="1701" w:hanging="340"/>
    </w:pPr>
  </w:style>
  <w:style w:type="paragraph" w:styleId="ListBullet3">
    <w:name w:val="List Bullet 3"/>
    <w:basedOn w:val="List3"/>
    <w:rsid w:val="00E246D3"/>
    <w:pPr>
      <w:numPr>
        <w:numId w:val="14"/>
      </w:numPr>
      <w:tabs>
        <w:tab w:val="clear" w:pos="1021"/>
      </w:tabs>
      <w:ind w:left="1037" w:hanging="357"/>
    </w:pPr>
  </w:style>
  <w:style w:type="paragraph" w:styleId="ListBullet4">
    <w:name w:val="List Bullet 4"/>
    <w:basedOn w:val="List4"/>
    <w:rsid w:val="00E246D3"/>
    <w:pPr>
      <w:numPr>
        <w:numId w:val="3"/>
      </w:numPr>
      <w:tabs>
        <w:tab w:val="clear" w:pos="1361"/>
      </w:tabs>
    </w:pPr>
  </w:style>
  <w:style w:type="paragraph" w:styleId="ListBullet5">
    <w:name w:val="List Bullet 5"/>
    <w:basedOn w:val="List5"/>
    <w:rsid w:val="00E246D3"/>
    <w:pPr>
      <w:numPr>
        <w:numId w:val="4"/>
      </w:numPr>
    </w:pPr>
  </w:style>
  <w:style w:type="paragraph" w:styleId="ListContinue2">
    <w:name w:val="List Continue 2"/>
    <w:basedOn w:val="List2"/>
    <w:rsid w:val="00E246D3"/>
    <w:pPr>
      <w:ind w:firstLine="0"/>
    </w:pPr>
  </w:style>
  <w:style w:type="paragraph" w:styleId="ListContinue3">
    <w:name w:val="List Continue 3"/>
    <w:basedOn w:val="List3"/>
    <w:rsid w:val="00E246D3"/>
    <w:pPr>
      <w:ind w:left="1021" w:firstLine="0"/>
    </w:pPr>
  </w:style>
  <w:style w:type="paragraph" w:styleId="ListContinue4">
    <w:name w:val="List Continue 4"/>
    <w:basedOn w:val="List4"/>
    <w:rsid w:val="00E246D3"/>
    <w:pPr>
      <w:ind w:firstLine="0"/>
    </w:pPr>
  </w:style>
  <w:style w:type="paragraph" w:styleId="ListContinue5">
    <w:name w:val="List Continue 5"/>
    <w:basedOn w:val="List5"/>
    <w:rsid w:val="00E246D3"/>
    <w:pPr>
      <w:ind w:firstLine="0"/>
    </w:pPr>
  </w:style>
  <w:style w:type="paragraph" w:styleId="ListNumber3">
    <w:name w:val="List Number 3"/>
    <w:basedOn w:val="List3"/>
    <w:rsid w:val="00E246D3"/>
    <w:pPr>
      <w:numPr>
        <w:numId w:val="5"/>
      </w:numPr>
    </w:pPr>
  </w:style>
  <w:style w:type="paragraph" w:styleId="ListNumber4">
    <w:name w:val="List Number 4"/>
    <w:basedOn w:val="List4"/>
    <w:rsid w:val="00E246D3"/>
    <w:pPr>
      <w:numPr>
        <w:numId w:val="6"/>
      </w:numPr>
    </w:pPr>
  </w:style>
  <w:style w:type="paragraph" w:styleId="ListNumber5">
    <w:name w:val="List Number 5"/>
    <w:basedOn w:val="List5"/>
    <w:rsid w:val="00E246D3"/>
    <w:pPr>
      <w:numPr>
        <w:numId w:val="7"/>
      </w:numPr>
    </w:pPr>
  </w:style>
  <w:style w:type="paragraph" w:styleId="BlockText">
    <w:name w:val="Block Text"/>
    <w:basedOn w:val="Normal"/>
    <w:rsid w:val="00E246D3"/>
    <w:pPr>
      <w:spacing w:after="120"/>
      <w:ind w:left="1440" w:right="1440"/>
    </w:pPr>
  </w:style>
  <w:style w:type="character" w:customStyle="1" w:styleId="Subscript">
    <w:name w:val="Subscript"/>
    <w:basedOn w:val="DefaultParagraphFont"/>
    <w:rsid w:val="00E246D3"/>
    <w:rPr>
      <w:sz w:val="16"/>
      <w:vertAlign w:val="subscript"/>
    </w:rPr>
  </w:style>
  <w:style w:type="character" w:customStyle="1" w:styleId="Superscript">
    <w:name w:val="Superscript"/>
    <w:basedOn w:val="DefaultParagraphFont"/>
    <w:rsid w:val="00E246D3"/>
    <w:rPr>
      <w:sz w:val="16"/>
      <w:vertAlign w:val="superscript"/>
    </w:rPr>
  </w:style>
  <w:style w:type="character" w:customStyle="1" w:styleId="Symbols">
    <w:name w:val="Symbols"/>
    <w:basedOn w:val="DefaultParagraphFont"/>
    <w:rsid w:val="00E246D3"/>
    <w:rPr>
      <w:rFonts w:ascii="Symbol" w:hAnsi="Symbol"/>
    </w:rPr>
  </w:style>
  <w:style w:type="character" w:customStyle="1" w:styleId="MenuOptions">
    <w:name w:val="Menu Options"/>
    <w:basedOn w:val="DefaultParagraphFont"/>
    <w:rsid w:val="00E246D3"/>
    <w:rPr>
      <w:rFonts w:ascii="Arial Narrow" w:hAnsi="Arial Narrow"/>
      <w:smallCaps/>
    </w:rPr>
  </w:style>
  <w:style w:type="character" w:customStyle="1" w:styleId="Buttons">
    <w:name w:val="Buttons"/>
    <w:basedOn w:val="DefaultParagraphFont"/>
    <w:rsid w:val="00E246D3"/>
    <w:rPr>
      <w:b/>
    </w:rPr>
  </w:style>
  <w:style w:type="character" w:customStyle="1" w:styleId="Underlined">
    <w:name w:val="Underlined"/>
    <w:basedOn w:val="DefaultParagraphFont"/>
    <w:rsid w:val="00E246D3"/>
    <w:rPr>
      <w:u w:val="single"/>
    </w:rPr>
  </w:style>
  <w:style w:type="paragraph" w:customStyle="1" w:styleId="TableBodyTextRight">
    <w:name w:val="Table Body Text Right"/>
    <w:basedOn w:val="TableBodyText"/>
    <w:rsid w:val="00E246D3"/>
    <w:pPr>
      <w:widowControl w:val="0"/>
      <w:autoSpaceDE w:val="0"/>
      <w:autoSpaceDN w:val="0"/>
      <w:adjustRightInd w:val="0"/>
      <w:jc w:val="right"/>
    </w:pPr>
    <w:rPr>
      <w:rFonts w:cs="Arial"/>
      <w:szCs w:val="18"/>
    </w:rPr>
  </w:style>
  <w:style w:type="paragraph" w:customStyle="1" w:styleId="CopyrightText">
    <w:name w:val="Copyright Text"/>
    <w:basedOn w:val="BodyText"/>
    <w:rsid w:val="00E246D3"/>
    <w:rPr>
      <w:sz w:val="18"/>
    </w:rPr>
  </w:style>
  <w:style w:type="paragraph" w:customStyle="1" w:styleId="BodySmallRight">
    <w:name w:val="Body Small Right"/>
    <w:basedOn w:val="BodyTextRight"/>
    <w:rsid w:val="00E246D3"/>
    <w:rPr>
      <w:sz w:val="18"/>
      <w:szCs w:val="18"/>
    </w:rPr>
  </w:style>
  <w:style w:type="paragraph" w:customStyle="1" w:styleId="MarginEdition">
    <w:name w:val="Margin Edition"/>
    <w:basedOn w:val="MarginNote"/>
    <w:rsid w:val="00E246D3"/>
    <w:pPr>
      <w:spacing w:before="0" w:after="0"/>
    </w:pPr>
    <w:rPr>
      <w:rFonts w:ascii="Times New Roman" w:hAnsi="Times New Roman"/>
      <w:color w:val="999999"/>
    </w:rPr>
  </w:style>
  <w:style w:type="paragraph" w:customStyle="1" w:styleId="Spacer">
    <w:name w:val="Spacer"/>
    <w:basedOn w:val="Normal"/>
    <w:rsid w:val="00E246D3"/>
    <w:rPr>
      <w:sz w:val="2"/>
      <w:szCs w:val="2"/>
    </w:rPr>
  </w:style>
  <w:style w:type="character" w:customStyle="1" w:styleId="Small">
    <w:name w:val="Small"/>
    <w:basedOn w:val="DefaultParagraphFont"/>
    <w:rsid w:val="00E246D3"/>
    <w:rPr>
      <w:sz w:val="16"/>
    </w:rPr>
  </w:style>
  <w:style w:type="paragraph" w:customStyle="1" w:styleId="WideTable">
    <w:name w:val="Wide Table"/>
    <w:basedOn w:val="Normal"/>
    <w:rsid w:val="00E246D3"/>
    <w:pPr>
      <w:ind w:left="-1418"/>
    </w:pPr>
    <w:rPr>
      <w:sz w:val="2"/>
      <w:szCs w:val="2"/>
    </w:rPr>
  </w:style>
  <w:style w:type="character" w:styleId="PageNumber">
    <w:name w:val="page number"/>
    <w:basedOn w:val="DefaultParagraphFont"/>
    <w:rsid w:val="00E246D3"/>
  </w:style>
  <w:style w:type="paragraph" w:styleId="Quote">
    <w:name w:val="Quote"/>
    <w:basedOn w:val="Heading1"/>
    <w:link w:val="QuoteChar"/>
    <w:qFormat/>
    <w:rsid w:val="00E246D3"/>
    <w:rPr>
      <w:b w:val="0"/>
      <w:sz w:val="72"/>
      <w:szCs w:val="72"/>
      <w:lang w:val="en-NZ"/>
    </w:rPr>
  </w:style>
  <w:style w:type="character" w:customStyle="1" w:styleId="QuoteChar">
    <w:name w:val="Quote Char"/>
    <w:basedOn w:val="DefaultParagraphFont"/>
    <w:link w:val="Quote"/>
    <w:rsid w:val="00E24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6D3"/>
    <w:pPr>
      <w:pageBreakBefore/>
    </w:pPr>
  </w:style>
  <w:style w:type="paragraph" w:customStyle="1" w:styleId="Border">
    <w:name w:val="Border"/>
    <w:basedOn w:val="Normal"/>
    <w:qFormat/>
    <w:rsid w:val="00E24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6D3"/>
    <w:rPr>
      <w:b/>
      <w:bCs/>
      <w:i/>
      <w:iCs/>
      <w:color w:val="auto"/>
    </w:rPr>
  </w:style>
  <w:style w:type="paragraph" w:styleId="IntenseQuote">
    <w:name w:val="Intense Quote"/>
    <w:basedOn w:val="Normal"/>
    <w:next w:val="Normal"/>
    <w:link w:val="IntenseQuoteChar"/>
    <w:uiPriority w:val="30"/>
    <w:qFormat/>
    <w:rsid w:val="00E24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6D3"/>
    <w:rPr>
      <w:smallCaps/>
      <w:color w:val="auto"/>
      <w:u w:val="single"/>
    </w:rPr>
  </w:style>
  <w:style w:type="character" w:styleId="IntenseReference">
    <w:name w:val="Intense Reference"/>
    <w:basedOn w:val="DefaultParagraphFont"/>
    <w:uiPriority w:val="32"/>
    <w:qFormat/>
    <w:rsid w:val="00E246D3"/>
    <w:rPr>
      <w:b/>
      <w:bCs/>
      <w:smallCaps/>
      <w:color w:val="auto"/>
      <w:spacing w:val="5"/>
      <w:u w:val="single"/>
    </w:rPr>
  </w:style>
  <w:style w:type="paragraph" w:customStyle="1" w:styleId="2ColumnHeading">
    <w:name w:val="2Column Heading"/>
    <w:basedOn w:val="BodyText"/>
    <w:qFormat/>
    <w:rsid w:val="00E246D3"/>
    <w:pPr>
      <w:spacing w:after="60"/>
      <w:ind w:left="-2268"/>
    </w:pPr>
    <w:rPr>
      <w:b/>
    </w:rPr>
  </w:style>
  <w:style w:type="paragraph" w:customStyle="1" w:styleId="Heading1TOC">
    <w:name w:val="Heading1 TOC"/>
    <w:basedOn w:val="Normal"/>
    <w:qFormat/>
    <w:rsid w:val="00E246D3"/>
    <w:pPr>
      <w:spacing w:before="240" w:after="120"/>
    </w:pPr>
    <w:rPr>
      <w:rFonts w:ascii="Times New Roman" w:hAnsi="Times New Roman"/>
      <w:b/>
      <w:sz w:val="32"/>
    </w:rPr>
  </w:style>
  <w:style w:type="paragraph" w:customStyle="1" w:styleId="Heading2TOC">
    <w:name w:val="Heading2 TOC"/>
    <w:basedOn w:val="Normal"/>
    <w:qFormat/>
    <w:rsid w:val="00E246D3"/>
    <w:pPr>
      <w:spacing w:before="240" w:after="60"/>
    </w:pPr>
    <w:rPr>
      <w:rFonts w:ascii="Times New Roman" w:hAnsi="Times New Roman"/>
      <w:b/>
      <w:sz w:val="28"/>
    </w:rPr>
  </w:style>
  <w:style w:type="character" w:customStyle="1" w:styleId="Underline">
    <w:name w:val="Underline"/>
    <w:basedOn w:val="DefaultParagraphFont"/>
    <w:qFormat/>
    <w:rsid w:val="00E246D3"/>
    <w:rPr>
      <w:u w:val="single"/>
    </w:rPr>
  </w:style>
  <w:style w:type="character" w:customStyle="1" w:styleId="BoldandItalics">
    <w:name w:val="Bold and Italics"/>
    <w:qFormat/>
    <w:rsid w:val="00E246D3"/>
    <w:rPr>
      <w:b/>
      <w:i/>
      <w:u w:val="none"/>
    </w:rPr>
  </w:style>
  <w:style w:type="paragraph" w:styleId="BalloonText">
    <w:name w:val="Balloon Text"/>
    <w:basedOn w:val="Normal"/>
    <w:link w:val="BalloonTextChar"/>
    <w:rsid w:val="00E246D3"/>
    <w:rPr>
      <w:rFonts w:ascii="Tahoma" w:hAnsi="Tahoma" w:cs="Tahoma"/>
      <w:sz w:val="16"/>
      <w:szCs w:val="16"/>
    </w:rPr>
  </w:style>
  <w:style w:type="character" w:customStyle="1" w:styleId="BalloonTextChar">
    <w:name w:val="Balloon Text Char"/>
    <w:basedOn w:val="DefaultParagraphFont"/>
    <w:link w:val="BalloonText"/>
    <w:rsid w:val="00E24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6D3"/>
    <w:rPr>
      <w:b/>
      <w:color w:val="660033"/>
      <w:spacing w:val="0"/>
    </w:rPr>
  </w:style>
  <w:style w:type="paragraph" w:customStyle="1" w:styleId="Nameditemlist">
    <w:name w:val="Named item list"/>
    <w:basedOn w:val="BodyText"/>
    <w:qFormat/>
    <w:rsid w:val="00E246D3"/>
    <w:pPr>
      <w:tabs>
        <w:tab w:val="left" w:pos="2835"/>
      </w:tabs>
      <w:ind w:left="2835" w:hanging="2835"/>
    </w:pPr>
  </w:style>
  <w:style w:type="paragraph" w:customStyle="1" w:styleId="BodyTextnopadding">
    <w:name w:val="Body Text no padding"/>
    <w:basedOn w:val="BodyText"/>
    <w:qFormat/>
    <w:rsid w:val="00E246D3"/>
    <w:pPr>
      <w:spacing w:before="0" w:after="0"/>
    </w:pPr>
  </w:style>
  <w:style w:type="paragraph" w:customStyle="1" w:styleId="BodyTextBold">
    <w:name w:val="Body Text Bold"/>
    <w:basedOn w:val="BodyText"/>
    <w:qFormat/>
    <w:rsid w:val="00E246D3"/>
    <w:rPr>
      <w:b/>
    </w:rPr>
  </w:style>
  <w:style w:type="character" w:styleId="Hyperlink">
    <w:name w:val="Hyperlink"/>
    <w:basedOn w:val="DefaultParagraphFont"/>
    <w:uiPriority w:val="99"/>
    <w:unhideWhenUsed/>
    <w:rsid w:val="00673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4838</Characters>
  <Application>Microsoft Office Word</Application>
  <DocSecurity>0</DocSecurity>
  <Lines>109</Lines>
  <Paragraphs>80</Paragraphs>
  <ScaleCrop>false</ScaleCrop>
  <Company>Author-it Software Corporation Ltd.</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UEERA0064 Recover, pressure test, evacuate, charge and leak test refrigerants - split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2024-12-24T01:17:00Z</dcterms:created>
  <dcterms:modified xsi:type="dcterms:W3CDTF">2024-12-24T01:17:00Z</dcterms:modified>
</cp:coreProperties>
</file>