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ECD" w:rsidP="00D24ECD">
      <w:pPr>
        <w:pStyle w:val="Title"/>
      </w:pPr>
      <w:r>
        <w:fldChar w:fldCharType="begin"/>
      </w:r>
      <w:r>
        <w:instrText xml:space="preserve"> TITLE   \* MERGEFORMAT </w:instrText>
      </w:r>
      <w:r>
        <w:fldChar w:fldCharType="separate"/>
      </w:r>
      <w:r>
        <w:t>Assessment Requirements for UEERA0059 Prepare and connect refrigerant tubing and fittings</w:t>
      </w:r>
      <w:r>
        <w:fldChar w:fldCharType="end"/>
      </w:r>
    </w:p>
    <w:p w:rsidR="00D24ECD" w:rsidP="00D24ECD">
      <w:pPr>
        <w:pStyle w:val="Version"/>
        <w:sectPr w:rsidSect="00E41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1311" w:rsidP="00E41311">
      <w:pPr>
        <w:pStyle w:val="SuperHeading"/>
      </w:pPr>
      <w:r w:rsidRPr="00E41311">
        <w:t>Assessment Requirements for UEERA0059 Prepare and connect refrigerant tubing and fittings</w:t>
      </w:r>
    </w:p>
    <w:p w:rsidR="00000000" w:rsidRPr="00E41311" w:rsidP="00E41311">
      <w:pPr>
        <w:pStyle w:val="Heading1"/>
      </w:pPr>
      <w:bookmarkStart w:id="1" w:name="O_1185330"/>
      <w:bookmarkEnd w:id="1"/>
      <w:r w:rsidRPr="00E41311">
        <w:t>Modification History</w:t>
      </w:r>
    </w:p>
    <w:tbl>
      <w:tblPr>
        <w:tblW w:w="9497" w:type="dxa"/>
        <w:tblLayout w:type="fixed"/>
        <w:tblCellMar>
          <w:left w:w="62" w:type="dxa"/>
          <w:right w:w="62" w:type="dxa"/>
        </w:tblCellMar>
        <w:tblLook w:val="0000"/>
      </w:tblPr>
      <w:tblGrid>
        <w:gridCol w:w="9497"/>
      </w:tblGrid>
      <w:tr w:rsidTr="00E41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311" w:rsidP="00E41311">
            <w:pPr>
              <w:pStyle w:val="BodyText"/>
            </w:pPr>
            <w:r w:rsidRPr="00E41311">
              <w:t>Release 2.  This minor update is the second release of this unit of competency in the UEE Electrotechnology Training Package.</w:t>
            </w:r>
          </w:p>
          <w:p w:rsidR="00000000" w:rsidP="00E41311">
            <w:pPr>
              <w:pStyle w:val="BodyText"/>
              <w:rPr>
                <w:lang w:val="en-NZ"/>
              </w:rPr>
            </w:pPr>
            <w:r w:rsidRPr="00E41311">
              <w:t>Incorrect Performance Criteria numbering in Element 1 fixed.</w:t>
            </w:r>
          </w:p>
        </w:tc>
      </w:tr>
      <w:tr w:rsidTr="00E41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311" w:rsidP="00E41311">
            <w:pPr>
              <w:pStyle w:val="BodyText"/>
            </w:pPr>
            <w:r w:rsidRPr="00E41311">
              <w:t>Release 1. This is the first release of this unit of competency in the UEE Electrotechnology Training Package.</w:t>
            </w:r>
          </w:p>
        </w:tc>
      </w:tr>
    </w:tbl>
    <w:p w:rsidR="00000000" w:rsidRPr="00E41311" w:rsidP="00E41311">
      <w:pPr>
        <w:pStyle w:val="NoPaddingFontSize1"/>
      </w:pPr>
    </w:p>
    <w:p w:rsidR="00000000" w:rsidRPr="00E41311" w:rsidP="00E41311">
      <w:pPr>
        <w:pStyle w:val="AllowPageBreak"/>
      </w:pPr>
    </w:p>
    <w:p w:rsidR="00000000" w:rsidRPr="00E41311" w:rsidP="00E41311">
      <w:pPr>
        <w:pStyle w:val="Heading1"/>
      </w:pPr>
      <w:bookmarkStart w:id="2" w:name="O_1185329"/>
      <w:bookmarkEnd w:id="2"/>
      <w:r w:rsidRPr="00E41311">
        <w:t>Performance Evidence</w:t>
      </w:r>
    </w:p>
    <w:tbl>
      <w:tblPr>
        <w:tblW w:w="9497" w:type="dxa"/>
        <w:tblLayout w:type="fixed"/>
        <w:tblCellMar>
          <w:left w:w="62" w:type="dxa"/>
          <w:right w:w="62" w:type="dxa"/>
        </w:tblCellMar>
        <w:tblLook w:val="0000"/>
      </w:tblPr>
      <w:tblGrid>
        <w:gridCol w:w="9497"/>
      </w:tblGrid>
      <w:tr w:rsidTr="00E41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1311">
            <w:pPr>
              <w:pStyle w:val="BodyText"/>
              <w:rPr>
                <w:lang w:val="en-NZ"/>
              </w:rPr>
            </w:pPr>
            <w:r w:rsidRPr="00E41311">
              <w:t>Evidence required to demonstrate competen</w:t>
            </w:r>
            <w:r w:rsidRPr="00E41311">
              <w:t xml:space="preserve">ce in this unit must be relevant to and satisfy all of the requirements of the elements, performance criteria and range of conditions on at least two separate occasions and include: </w:t>
            </w:r>
          </w:p>
        </w:tc>
      </w:tr>
      <w:tr w:rsidTr="00E41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311" w:rsidP="00E41311">
            <w:pPr>
              <w:pStyle w:val="ListBullet"/>
            </w:pPr>
            <w:r w:rsidRPr="00E41311">
              <w:t>applying relevant industry standards, codes of practice, regulations an</w:t>
            </w:r>
            <w:r w:rsidRPr="00E41311">
              <w:t>d work health and safety (WHS)/occupational health and safety (OHS) requirements, including using risk control measures</w:t>
            </w:r>
          </w:p>
          <w:p w:rsidR="00000000" w:rsidRPr="00E41311" w:rsidP="00E41311">
            <w:pPr>
              <w:pStyle w:val="ListBullet"/>
            </w:pPr>
            <w:r w:rsidRPr="00E41311">
              <w:t xml:space="preserve">applying sustainable energy principles and practices </w:t>
            </w:r>
          </w:p>
          <w:p w:rsidR="00000000" w:rsidRPr="00E41311" w:rsidP="00E41311">
            <w:pPr>
              <w:pStyle w:val="ListBullet"/>
            </w:pPr>
            <w:r w:rsidRPr="00E41311">
              <w:t>completing documentation and reporting requirements</w:t>
            </w:r>
          </w:p>
          <w:p w:rsidR="00000000" w:rsidRPr="00E41311" w:rsidP="00E41311">
            <w:pPr>
              <w:pStyle w:val="ListBullet"/>
            </w:pPr>
            <w:r w:rsidRPr="00E41311">
              <w:t>identifying and monitoring hazards and using applicable safety data sheets (SDS)/material safety data sheets (MSDS)</w:t>
            </w:r>
          </w:p>
          <w:p w:rsidR="00000000" w:rsidRPr="00E41311" w:rsidP="00E41311">
            <w:pPr>
              <w:pStyle w:val="ListBullet"/>
            </w:pPr>
            <w:r w:rsidRPr="00E41311">
              <w:t>preparing, fabricating and attaching refrigerant tubing and fittings, including:</w:t>
            </w:r>
          </w:p>
          <w:p w:rsidR="00000000" w:rsidRPr="00E41311" w:rsidP="00E41311">
            <w:pPr>
              <w:pStyle w:val="ListBullet2"/>
            </w:pPr>
            <w:r w:rsidRPr="00E41311">
              <w:t>attaching fittings correctly</w:t>
            </w:r>
          </w:p>
          <w:p w:rsidR="00000000" w:rsidRPr="00E41311" w:rsidP="00E41311">
            <w:pPr>
              <w:pStyle w:val="ListBullet2"/>
            </w:pPr>
            <w:r w:rsidRPr="00E41311">
              <w:t xml:space="preserve">conducting component quality </w:t>
            </w:r>
            <w:r w:rsidRPr="00E41311">
              <w:t>checks</w:t>
            </w:r>
          </w:p>
          <w:p w:rsidR="00000000" w:rsidRPr="00E41311" w:rsidP="00E41311">
            <w:pPr>
              <w:pStyle w:val="ListBullet2"/>
            </w:pPr>
            <w:r w:rsidRPr="00E41311">
              <w:t>cutting, bending and joining refrigerant piping and tubing using appropriate tools and equipment, including compression fittings and high-pressure refrigerants</w:t>
            </w:r>
          </w:p>
          <w:p w:rsidR="00000000" w:rsidRPr="00E41311" w:rsidP="00E41311">
            <w:pPr>
              <w:pStyle w:val="ListBullet2"/>
            </w:pPr>
            <w:r w:rsidRPr="00E41311">
              <w:t>silver brazing copper tubes and fittings using dry nitrogen</w:t>
            </w:r>
          </w:p>
          <w:p w:rsidR="00000000" w:rsidRPr="00E41311" w:rsidP="00E41311">
            <w:pPr>
              <w:pStyle w:val="ListBullet"/>
            </w:pPr>
            <w:r w:rsidRPr="00E41311">
              <w:t>setting up equipment safely.</w:t>
            </w:r>
          </w:p>
        </w:tc>
      </w:tr>
    </w:tbl>
    <w:p w:rsidR="00000000" w:rsidRPr="00E41311" w:rsidP="00E41311">
      <w:pPr>
        <w:pStyle w:val="NoPaddingFontSize1"/>
      </w:pPr>
    </w:p>
    <w:p w:rsidR="00000000" w:rsidRPr="00E41311" w:rsidP="00E41311">
      <w:pPr>
        <w:pStyle w:val="AllowPageBreak"/>
      </w:pPr>
    </w:p>
    <w:p w:rsidR="00000000" w:rsidRPr="00E41311" w:rsidP="00E41311">
      <w:pPr>
        <w:pStyle w:val="Heading1"/>
      </w:pPr>
      <w:bookmarkStart w:id="3" w:name="O_1185328"/>
      <w:bookmarkEnd w:id="3"/>
      <w:r w:rsidRPr="00E41311">
        <w:t>Knowledge Evidence</w:t>
      </w:r>
    </w:p>
    <w:tbl>
      <w:tblPr>
        <w:tblW w:w="9497" w:type="dxa"/>
        <w:tblLayout w:type="fixed"/>
        <w:tblCellMar>
          <w:left w:w="62" w:type="dxa"/>
          <w:right w:w="62" w:type="dxa"/>
        </w:tblCellMar>
        <w:tblLook w:val="0000"/>
      </w:tblPr>
      <w:tblGrid>
        <w:gridCol w:w="9497"/>
      </w:tblGrid>
      <w:tr w:rsidTr="00E41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1311">
            <w:pPr>
              <w:pStyle w:val="BodyText"/>
              <w:rPr>
                <w:lang w:val="en-NZ"/>
              </w:rPr>
            </w:pPr>
            <w:r w:rsidRPr="00E41311">
              <w:t xml:space="preserve">Evidence required to demonstrate competence in this unit must be relevant to and satisfy all of the requirements of the elements, performance criteria and range of conditions and include knowledge of: </w:t>
            </w:r>
          </w:p>
        </w:tc>
      </w:tr>
      <w:tr w:rsidTr="00E41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311" w:rsidP="00E41311">
            <w:pPr>
              <w:pStyle w:val="ListBullet"/>
            </w:pPr>
            <w:r w:rsidRPr="00E41311">
              <w:t>copper tube grades, including types, properties, applications and handling</w:t>
            </w:r>
          </w:p>
          <w:p w:rsidR="00000000" w:rsidRPr="00E41311" w:rsidP="00E41311">
            <w:pPr>
              <w:pStyle w:val="ListBullet"/>
            </w:pPr>
            <w:r w:rsidRPr="00E41311">
              <w:t>dissimilar metals, including:</w:t>
            </w:r>
          </w:p>
          <w:p w:rsidR="00000000" w:rsidRPr="00E41311" w:rsidP="00E41311">
            <w:pPr>
              <w:pStyle w:val="ListBullet2"/>
            </w:pPr>
            <w:r w:rsidRPr="00E41311">
              <w:t>aluminium</w:t>
            </w:r>
          </w:p>
          <w:p w:rsidR="00000000" w:rsidRPr="00E41311" w:rsidP="00E41311">
            <w:pPr>
              <w:pStyle w:val="ListBullet2"/>
            </w:pPr>
            <w:r w:rsidRPr="00E41311">
              <w:t>brass</w:t>
            </w:r>
          </w:p>
          <w:p w:rsidR="00000000" w:rsidRPr="00E41311" w:rsidP="00E41311">
            <w:pPr>
              <w:pStyle w:val="ListBullet2"/>
            </w:pPr>
            <w:r w:rsidRPr="00E41311">
              <w:t>steel</w:t>
            </w:r>
          </w:p>
          <w:p w:rsidR="00000000" w:rsidRPr="00E41311" w:rsidP="00E41311">
            <w:pPr>
              <w:pStyle w:val="ListBullet2"/>
            </w:pPr>
            <w:r w:rsidRPr="00E41311">
              <w:t>stainless steel</w:t>
            </w:r>
          </w:p>
          <w:p w:rsidR="00000000" w:rsidRPr="00E41311" w:rsidP="00E41311">
            <w:pPr>
              <w:pStyle w:val="ListBullet"/>
            </w:pPr>
            <w:r w:rsidRPr="00E41311">
              <w:t>potential hazards with refrigerant tubing and fittings</w:t>
            </w:r>
          </w:p>
          <w:p w:rsidR="00000000" w:rsidRPr="00E41311" w:rsidP="00E41311">
            <w:pPr>
              <w:pStyle w:val="ListBullet"/>
            </w:pPr>
            <w:r w:rsidRPr="00E41311">
              <w:t>refrigerant tubing and fittings techniques, including:</w:t>
            </w:r>
          </w:p>
          <w:p w:rsidR="00000000" w:rsidRPr="00E41311" w:rsidP="00E41311">
            <w:pPr>
              <w:pStyle w:val="ListBullet2"/>
            </w:pPr>
            <w:r w:rsidRPr="00E41311">
              <w:t>annealing</w:t>
            </w:r>
          </w:p>
          <w:p w:rsidR="00000000" w:rsidRPr="00E41311" w:rsidP="00E41311">
            <w:pPr>
              <w:pStyle w:val="ListBullet2"/>
            </w:pPr>
            <w:r w:rsidRPr="00E41311">
              <w:t>bending</w:t>
            </w:r>
          </w:p>
          <w:p w:rsidR="00000000" w:rsidRPr="00E41311" w:rsidP="00E41311">
            <w:pPr>
              <w:pStyle w:val="ListBullet2"/>
            </w:pPr>
            <w:r w:rsidRPr="00E41311">
              <w:t>cutting</w:t>
            </w:r>
          </w:p>
          <w:p w:rsidR="00000000" w:rsidRPr="00E41311" w:rsidP="00E41311">
            <w:pPr>
              <w:pStyle w:val="ListBullet2"/>
            </w:pPr>
            <w:r w:rsidRPr="00E41311">
              <w:t>flaring</w:t>
            </w:r>
          </w:p>
          <w:p w:rsidR="00000000" w:rsidRPr="00E41311" w:rsidP="00E41311">
            <w:pPr>
              <w:pStyle w:val="ListBullet2"/>
            </w:pPr>
            <w:r w:rsidRPr="00E41311">
              <w:t>tube expanding</w:t>
            </w:r>
          </w:p>
          <w:p w:rsidR="00000000" w:rsidRPr="00E41311" w:rsidP="00E41311">
            <w:pPr>
              <w:pStyle w:val="ListBullet2"/>
            </w:pPr>
            <w:r w:rsidRPr="00E41311">
              <w:t>joining</w:t>
            </w:r>
          </w:p>
          <w:p w:rsidR="00000000" w:rsidRPr="00E41311" w:rsidP="00E41311">
            <w:pPr>
              <w:pStyle w:val="ListBullet2"/>
            </w:pPr>
            <w:r w:rsidRPr="00E41311">
              <w:t>silver brazing</w:t>
            </w:r>
          </w:p>
          <w:p w:rsidR="00000000" w:rsidRPr="00E41311" w:rsidP="00E41311">
            <w:pPr>
              <w:pStyle w:val="ListBullet2"/>
            </w:pPr>
            <w:r w:rsidRPr="00E41311">
              <w:t>use of dry nitrogen</w:t>
            </w:r>
          </w:p>
          <w:p w:rsidR="00000000" w:rsidRPr="00E41311" w:rsidP="00E41311">
            <w:pPr>
              <w:pStyle w:val="ListBullet"/>
            </w:pPr>
            <w:r w:rsidRPr="00E41311">
              <w:t>refrigeration copper tube fittings and access valves</w:t>
            </w:r>
          </w:p>
          <w:p w:rsidR="00000000" w:rsidRPr="00E41311" w:rsidP="00E41311">
            <w:pPr>
              <w:pStyle w:val="ListBullet"/>
            </w:pPr>
            <w:r w:rsidRPr="00E41311">
              <w:t>relevant legislation, industry standards, codes of practice and regulations</w:t>
            </w:r>
          </w:p>
          <w:p w:rsidR="00000000" w:rsidRPr="00E41311" w:rsidP="00E41311">
            <w:pPr>
              <w:pStyle w:val="ListBullet"/>
            </w:pPr>
            <w:r w:rsidRPr="00E41311">
              <w:t>relevant manufacturer specifications</w:t>
            </w:r>
          </w:p>
          <w:p w:rsidR="00000000" w:rsidRPr="00E41311" w:rsidP="00E41311">
            <w:pPr>
              <w:pStyle w:val="ListBullet"/>
            </w:pPr>
            <w:r w:rsidRPr="00E41311">
              <w:t>relevant risk mitigation processes, including safe working practices</w:t>
            </w:r>
          </w:p>
          <w:p w:rsidR="00000000" w:rsidRPr="00E41311" w:rsidP="00E41311">
            <w:pPr>
              <w:pStyle w:val="ListBullet"/>
            </w:pPr>
            <w:r w:rsidRPr="00E41311">
              <w:t>relevant WHS/OHS legislated requirements</w:t>
            </w:r>
          </w:p>
          <w:p w:rsidR="00000000" w:rsidRPr="00E41311" w:rsidP="00E41311">
            <w:pPr>
              <w:pStyle w:val="ListBullet"/>
            </w:pPr>
            <w:r w:rsidRPr="00E41311">
              <w:t>relevant workplace documentation</w:t>
            </w:r>
          </w:p>
          <w:p w:rsidR="00000000" w:rsidRPr="00E41311" w:rsidP="00E41311">
            <w:pPr>
              <w:pStyle w:val="ListBullet"/>
            </w:pPr>
            <w:r w:rsidRPr="00E41311">
              <w:t>relevant workplace policies and procedures</w:t>
            </w:r>
          </w:p>
          <w:p w:rsidR="00000000" w:rsidRPr="00E41311" w:rsidP="00E41311">
            <w:pPr>
              <w:pStyle w:val="ListBullet"/>
            </w:pPr>
            <w:r w:rsidRPr="00E41311">
              <w:t>SDS/MSDS</w:t>
            </w:r>
          </w:p>
          <w:p w:rsidR="00000000" w:rsidRPr="00E41311" w:rsidP="00E41311">
            <w:pPr>
              <w:pStyle w:val="ListBullet"/>
            </w:pPr>
            <w:r w:rsidRPr="00E41311">
              <w:t>sustainable energy princ</w:t>
            </w:r>
            <w:r w:rsidRPr="00E41311">
              <w:t>iples and practices</w:t>
            </w:r>
          </w:p>
          <w:p w:rsidR="00000000" w:rsidRPr="00E41311" w:rsidP="00E41311">
            <w:pPr>
              <w:pStyle w:val="ListBullet"/>
            </w:pPr>
            <w:r w:rsidRPr="00E41311">
              <w:t xml:space="preserve">tools and equipment, including care and maintenance. </w:t>
            </w:r>
          </w:p>
        </w:tc>
      </w:tr>
    </w:tbl>
    <w:p w:rsidR="00000000" w:rsidRPr="00E41311" w:rsidP="00E41311">
      <w:pPr>
        <w:pStyle w:val="NoPaddingFontSize1"/>
      </w:pPr>
    </w:p>
    <w:p w:rsidR="00000000" w:rsidRPr="00E41311" w:rsidP="00E41311">
      <w:pPr>
        <w:pStyle w:val="AllowPageBreak"/>
      </w:pPr>
    </w:p>
    <w:p w:rsidR="00000000" w:rsidRPr="00E41311" w:rsidP="00E41311">
      <w:pPr>
        <w:pStyle w:val="Heading1"/>
      </w:pPr>
      <w:bookmarkStart w:id="4" w:name="O_1185327"/>
      <w:bookmarkEnd w:id="4"/>
      <w:r w:rsidRPr="00E41311">
        <w:t>Assessment Conditions</w:t>
      </w:r>
    </w:p>
    <w:tbl>
      <w:tblPr>
        <w:tblW w:w="9497" w:type="dxa"/>
        <w:tblLayout w:type="fixed"/>
        <w:tblCellMar>
          <w:left w:w="62" w:type="dxa"/>
          <w:right w:w="62" w:type="dxa"/>
        </w:tblCellMar>
        <w:tblLook w:val="0000"/>
      </w:tblPr>
      <w:tblGrid>
        <w:gridCol w:w="9497"/>
      </w:tblGrid>
      <w:tr w:rsidTr="00E41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1311" w:rsidP="00E41311">
            <w:pPr>
              <w:pStyle w:val="BodyText"/>
            </w:pPr>
            <w:r w:rsidRPr="00E41311">
              <w:t xml:space="preserve">Assessors must hold credentials specified within the Standards for Registered Training Organisations current at the time of assessment. </w:t>
            </w:r>
          </w:p>
          <w:p w:rsidR="00000000" w:rsidRPr="00E41311" w:rsidP="00E41311">
            <w:pPr>
              <w:pStyle w:val="BodyText"/>
            </w:pPr>
            <w:r w:rsidRPr="00E41311">
              <w:t>As</w:t>
            </w:r>
            <w:r w:rsidRPr="00E41311">
              <w:t xml:space="preserve">sessment must satisfy the Principles of Assessment and Rules of Evidence and all regulatory requirements included within the Standards for Registered Training Organisations current at the time of assessment. </w:t>
            </w:r>
          </w:p>
          <w:p w:rsidR="00000000" w:rsidRPr="00E41311" w:rsidP="00E41311">
            <w:pPr>
              <w:pStyle w:val="BodyText"/>
            </w:pPr>
            <w:r w:rsidRPr="00E41311">
              <w:t>Assessment must occur in workplace operational situations where it is appropriate to do so; where this is not appropriate, assessment must occur in simulated workplace operational situations that replicate workplace conditions.</w:t>
            </w:r>
          </w:p>
          <w:p w:rsidR="00000000" w:rsidRPr="00E41311" w:rsidP="00E41311">
            <w:pPr>
              <w:pStyle w:val="BodyText"/>
            </w:pPr>
            <w:r w:rsidRPr="00E41311">
              <w:t>Assessment processes and tec</w:t>
            </w:r>
            <w:r w:rsidRPr="00E41311">
              <w:t xml:space="preserve">hniques must be appropriate to the language, literacy and numeracy requirements of the work being performed and the needs of the candidate. </w:t>
            </w:r>
          </w:p>
          <w:p w:rsidR="00000000" w:rsidRPr="00E41311" w:rsidP="00E41311">
            <w:pPr>
              <w:pStyle w:val="BodyText"/>
            </w:pPr>
            <w:r w:rsidRPr="00E41311">
              <w:t>Resources for assessment must include access to:</w:t>
            </w:r>
          </w:p>
          <w:p w:rsidR="00000000" w:rsidRPr="00E41311" w:rsidP="00E41311">
            <w:pPr>
              <w:pStyle w:val="ListBullet"/>
            </w:pPr>
            <w:r w:rsidRPr="00E41311">
              <w:t>a range of relevant exercises, case studies and/or other simulati</w:t>
            </w:r>
            <w:r w:rsidRPr="00E41311">
              <w:t>ons</w:t>
            </w:r>
          </w:p>
          <w:p w:rsidR="00000000" w:rsidRPr="00E41311" w:rsidP="00E41311">
            <w:pPr>
              <w:pStyle w:val="ListBullet"/>
            </w:pPr>
            <w:r w:rsidRPr="00E41311">
              <w:t xml:space="preserve">relevant and appropriate materials, tools, equipment and personal protective equipment (PPE) currently used in industry </w:t>
            </w:r>
          </w:p>
          <w:p w:rsidR="00000000" w:rsidRPr="00E41311" w:rsidP="00E41311">
            <w:pPr>
              <w:pStyle w:val="ListBullet"/>
            </w:pPr>
            <w:r w:rsidRPr="00E41311">
              <w:t>applicable documentation, including workplace procedures, industry standards, equipment specifications, regulations, codes of pract</w:t>
            </w:r>
            <w:r w:rsidRPr="00E41311">
              <w:t>ice and operation manuals.</w:t>
            </w:r>
          </w:p>
        </w:tc>
      </w:tr>
    </w:tbl>
    <w:p w:rsidR="00000000" w:rsidRPr="00E41311" w:rsidP="00E41311">
      <w:pPr>
        <w:pStyle w:val="NoPaddingFontSize1"/>
      </w:pPr>
    </w:p>
    <w:p w:rsidR="00000000" w:rsidRPr="00E41311" w:rsidP="00E41311">
      <w:pPr>
        <w:pStyle w:val="AllowPageBreak"/>
      </w:pPr>
    </w:p>
    <w:p w:rsidR="00000000" w:rsidRPr="00E41311" w:rsidP="00E41311">
      <w:pPr>
        <w:pStyle w:val="Heading1"/>
      </w:pPr>
      <w:bookmarkStart w:id="5" w:name="O_1185342"/>
      <w:bookmarkEnd w:id="5"/>
      <w:r w:rsidRPr="00E41311">
        <w:t>Links</w:t>
      </w:r>
    </w:p>
    <w:p w:rsidR="00000000" w:rsidRPr="00E41311" w:rsidP="00D24ECD">
      <w:pPr>
        <w:pStyle w:val="BodyText"/>
      </w:pPr>
      <w:r w:rsidRPr="00E4131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C5F15">
        <w:rPr>
          <w:rStyle w:val="Hyperlink"/>
        </w:rPr>
        <w:t>https://vetnet.gov.au/Pages/TrainingDocs.aspx?q=b8a8f136-5421-4ce1-92e0-2b50341431b6</w:t>
      </w:r>
      <w:r>
        <w:fldChar w:fldCharType="end"/>
      </w:r>
    </w:p>
    <w:p w:rsidR="00000000" w:rsidRPr="00E41311" w:rsidP="00E41311"/>
    <w:sectPr w:rsidSect="00E413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11" w:rsidRPr="00D24ECD" w:rsidP="00D24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CD" w:rsidP="00E41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ECD" w:rsidP="00E4131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4ECD" w:rsidP="00E41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311" w:rsidRPr="00D24ECD" w:rsidP="00D24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CD" w:rsidRPr="002D2AF8" w:rsidP="00E41311">
    <w:pPr>
      <w:pStyle w:val="Header"/>
      <w:framePr w:wrap="around"/>
    </w:pPr>
    <w:r>
      <w:fldChar w:fldCharType="begin"/>
    </w:r>
    <w:r>
      <w:instrText xml:space="preserve"> TITLE   \* MERGEFORMAT </w:instrText>
    </w:r>
    <w:r>
      <w:fldChar w:fldCharType="separate"/>
    </w:r>
    <w:r>
      <w:t>Assessment Requirements for UEERA0059 Prepare and connect refrigerant tubing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24ECD" w:rsidP="00E41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E4F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6B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29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311"/>
    <w:pPr>
      <w:spacing w:before="360" w:after="60"/>
      <w:outlineLvl w:val="0"/>
    </w:pPr>
    <w:rPr>
      <w:sz w:val="32"/>
    </w:rPr>
  </w:style>
  <w:style w:type="paragraph" w:styleId="Heading2">
    <w:name w:val="heading 2"/>
    <w:basedOn w:val="HeadingBase"/>
    <w:next w:val="BodyText"/>
    <w:link w:val="Heading2Char"/>
    <w:qFormat/>
    <w:rsid w:val="00E41311"/>
    <w:pPr>
      <w:keepLines/>
      <w:spacing w:before="240" w:after="120"/>
      <w:outlineLvl w:val="1"/>
    </w:pPr>
    <w:rPr>
      <w:sz w:val="28"/>
      <w:szCs w:val="40"/>
    </w:rPr>
  </w:style>
  <w:style w:type="paragraph" w:styleId="Heading3">
    <w:name w:val="heading 3"/>
    <w:basedOn w:val="HeadingBase"/>
    <w:next w:val="BodyText"/>
    <w:link w:val="Heading3Char"/>
    <w:qFormat/>
    <w:rsid w:val="00E41311"/>
    <w:pPr>
      <w:spacing w:before="180" w:after="120"/>
      <w:outlineLvl w:val="2"/>
    </w:pPr>
    <w:rPr>
      <w:spacing w:val="-10"/>
      <w:kern w:val="32"/>
    </w:rPr>
  </w:style>
  <w:style w:type="paragraph" w:styleId="Heading4">
    <w:name w:val="heading 4"/>
    <w:basedOn w:val="HeadingBase"/>
    <w:next w:val="BodyText"/>
    <w:link w:val="Heading4Char"/>
    <w:qFormat/>
    <w:rsid w:val="00E41311"/>
    <w:pPr>
      <w:spacing w:before="160" w:after="120"/>
      <w:outlineLvl w:val="3"/>
    </w:pPr>
    <w:rPr>
      <w:sz w:val="22"/>
    </w:rPr>
  </w:style>
  <w:style w:type="paragraph" w:styleId="Heading5">
    <w:name w:val="heading 5"/>
    <w:basedOn w:val="HeadingBase"/>
    <w:next w:val="Normal"/>
    <w:link w:val="Heading5Char"/>
    <w:qFormat/>
    <w:rsid w:val="00E41311"/>
    <w:pPr>
      <w:spacing w:before="80"/>
      <w:outlineLvl w:val="4"/>
    </w:pPr>
    <w:rPr>
      <w:color w:val="918585"/>
      <w:sz w:val="20"/>
    </w:rPr>
  </w:style>
  <w:style w:type="paragraph" w:styleId="Heading6">
    <w:name w:val="heading 6"/>
    <w:basedOn w:val="HeadingBase"/>
    <w:next w:val="Normal"/>
    <w:link w:val="Heading6Char"/>
    <w:qFormat/>
    <w:rsid w:val="00E41311"/>
    <w:pPr>
      <w:spacing w:before="60"/>
      <w:outlineLvl w:val="5"/>
    </w:pPr>
    <w:rPr>
      <w:color w:val="918585"/>
      <w:sz w:val="20"/>
    </w:rPr>
  </w:style>
  <w:style w:type="paragraph" w:styleId="Heading7">
    <w:name w:val="heading 7"/>
    <w:basedOn w:val="Normal"/>
    <w:next w:val="Normal"/>
    <w:link w:val="Heading7Char"/>
    <w:qFormat/>
    <w:rsid w:val="00E41311"/>
    <w:pPr>
      <w:ind w:left="720"/>
      <w:outlineLvl w:val="6"/>
    </w:pPr>
    <w:rPr>
      <w:i/>
    </w:rPr>
  </w:style>
  <w:style w:type="paragraph" w:styleId="Heading8">
    <w:name w:val="heading 8"/>
    <w:basedOn w:val="Normal"/>
    <w:next w:val="Normal"/>
    <w:link w:val="Heading8Char"/>
    <w:qFormat/>
    <w:rsid w:val="00E41311"/>
    <w:pPr>
      <w:ind w:left="720"/>
      <w:outlineLvl w:val="7"/>
    </w:pPr>
    <w:rPr>
      <w:i/>
    </w:rPr>
  </w:style>
  <w:style w:type="paragraph" w:styleId="Heading9">
    <w:name w:val="heading 9"/>
    <w:basedOn w:val="Normal"/>
    <w:next w:val="Normal"/>
    <w:link w:val="Heading9Char"/>
    <w:qFormat/>
    <w:rsid w:val="00E41311"/>
    <w:pPr>
      <w:ind w:left="720"/>
      <w:outlineLvl w:val="8"/>
    </w:pPr>
    <w:rPr>
      <w:i/>
    </w:rPr>
  </w:style>
  <w:style w:type="character" w:default="1" w:styleId="DefaultParagraphFont">
    <w:name w:val="Default Paragraph Font"/>
    <w:uiPriority w:val="1"/>
    <w:unhideWhenUsed/>
    <w:rsid w:val="00E41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311"/>
  </w:style>
  <w:style w:type="character" w:customStyle="1" w:styleId="Heading1Char">
    <w:name w:val="Heading 1 Char"/>
    <w:basedOn w:val="DefaultParagraphFont"/>
    <w:link w:val="Heading1"/>
    <w:rsid w:val="00E41311"/>
    <w:rPr>
      <w:rFonts w:ascii="Times New Roman" w:eastAsia="Times New Roman" w:hAnsi="Times New Roman" w:cs="Times New Roman"/>
      <w:b/>
      <w:sz w:val="32"/>
      <w:szCs w:val="20"/>
      <w:lang w:eastAsia="en-US"/>
    </w:rPr>
  </w:style>
  <w:style w:type="paragraph" w:styleId="BodyText">
    <w:name w:val="Body Text"/>
    <w:basedOn w:val="Normal"/>
    <w:link w:val="BodyTextChar"/>
    <w:rsid w:val="00E41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311"/>
    <w:rPr>
      <w:rFonts w:ascii="Times New Roman" w:eastAsia="Times New Roman" w:hAnsi="Times New Roman" w:cs="Times New Roman"/>
      <w:sz w:val="24"/>
      <w:lang w:eastAsia="en-US"/>
    </w:rPr>
  </w:style>
  <w:style w:type="paragraph" w:styleId="ListBullet">
    <w:name w:val="List Bullet"/>
    <w:basedOn w:val="List"/>
    <w:rsid w:val="00E41311"/>
    <w:pPr>
      <w:numPr>
        <w:numId w:val="12"/>
      </w:numPr>
      <w:tabs>
        <w:tab w:val="clear" w:pos="340"/>
      </w:tabs>
      <w:spacing w:before="40" w:after="40"/>
    </w:pPr>
  </w:style>
  <w:style w:type="paragraph" w:styleId="ListBullet2">
    <w:name w:val="List Bullet 2"/>
    <w:basedOn w:val="List2"/>
    <w:rsid w:val="00E41311"/>
    <w:pPr>
      <w:numPr>
        <w:numId w:val="13"/>
      </w:numPr>
      <w:tabs>
        <w:tab w:val="clear" w:pos="680"/>
      </w:tabs>
    </w:pPr>
  </w:style>
  <w:style w:type="paragraph" w:customStyle="1" w:styleId="SuperHeading">
    <w:name w:val="SuperHeading"/>
    <w:basedOn w:val="Normal"/>
    <w:rsid w:val="00E41311"/>
    <w:pPr>
      <w:spacing w:before="240" w:after="120"/>
      <w:outlineLvl w:val="0"/>
    </w:pPr>
    <w:rPr>
      <w:rFonts w:ascii="Times New Roman" w:hAnsi="Times New Roman"/>
      <w:b/>
      <w:sz w:val="32"/>
    </w:rPr>
  </w:style>
  <w:style w:type="paragraph" w:customStyle="1" w:styleId="AllowPageBreak">
    <w:name w:val="AllowPageBreak"/>
    <w:rsid w:val="00E413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1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311"/>
    <w:rPr>
      <w:rFonts w:ascii="Courier New" w:eastAsia="Times New Roman" w:hAnsi="Courier New" w:cs="Times New Roman"/>
      <w:i/>
      <w:szCs w:val="20"/>
      <w:lang w:eastAsia="en-US"/>
    </w:rPr>
  </w:style>
  <w:style w:type="paragraph" w:customStyle="1" w:styleId="HeadingBase">
    <w:name w:val="Heading Base"/>
    <w:rsid w:val="00E41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311"/>
    <w:pPr>
      <w:tabs>
        <w:tab w:val="right" w:leader="dot" w:pos="9072"/>
      </w:tabs>
      <w:ind w:left="567"/>
    </w:pPr>
    <w:rPr>
      <w:szCs w:val="22"/>
    </w:rPr>
  </w:style>
  <w:style w:type="paragraph" w:customStyle="1" w:styleId="TOCBase">
    <w:name w:val="TOC Base"/>
    <w:rsid w:val="00E41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311"/>
    <w:pPr>
      <w:tabs>
        <w:tab w:val="right" w:leader="dot" w:pos="9072"/>
      </w:tabs>
      <w:spacing w:before="40" w:after="40"/>
      <w:ind w:left="284"/>
    </w:pPr>
    <w:rPr>
      <w:rFonts w:ascii="Times New Roman" w:hAnsi="Times New Roman"/>
    </w:rPr>
  </w:style>
  <w:style w:type="paragraph" w:styleId="TOC1">
    <w:name w:val="toc 1"/>
    <w:basedOn w:val="TOCBase"/>
    <w:next w:val="Normal"/>
    <w:rsid w:val="00E41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311"/>
    <w:rPr>
      <w:rFonts w:ascii="Times New Roman" w:eastAsia="Times New Roman" w:hAnsi="Times New Roman" w:cs="Times New Roman"/>
      <w:sz w:val="16"/>
      <w:lang w:eastAsia="en-US"/>
    </w:rPr>
  </w:style>
  <w:style w:type="paragraph" w:styleId="Title">
    <w:name w:val="Title"/>
    <w:basedOn w:val="HeadingBase"/>
    <w:link w:val="TitleChar"/>
    <w:qFormat/>
    <w:rsid w:val="00E41311"/>
    <w:pPr>
      <w:spacing w:before="5040"/>
      <w:jc w:val="center"/>
    </w:pPr>
    <w:rPr>
      <w:sz w:val="48"/>
      <w:szCs w:val="72"/>
      <w:lang w:val="en-US"/>
    </w:rPr>
  </w:style>
  <w:style w:type="character" w:customStyle="1" w:styleId="TitleChar">
    <w:name w:val="Title Char"/>
    <w:basedOn w:val="DefaultParagraphFont"/>
    <w:link w:val="Title"/>
    <w:rsid w:val="00E41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311"/>
    <w:pPr>
      <w:tabs>
        <w:tab w:val="left" w:pos="3600"/>
        <w:tab w:val="left" w:pos="3958"/>
      </w:tabs>
    </w:pPr>
  </w:style>
  <w:style w:type="paragraph" w:styleId="List">
    <w:name w:val="List"/>
    <w:basedOn w:val="BodyText"/>
    <w:next w:val="BodyText"/>
    <w:rsid w:val="00E41311"/>
    <w:pPr>
      <w:tabs>
        <w:tab w:val="left" w:pos="340"/>
      </w:tabs>
      <w:spacing w:before="60" w:after="60"/>
      <w:ind w:left="340" w:hanging="340"/>
    </w:pPr>
  </w:style>
  <w:style w:type="paragraph" w:customStyle="1" w:styleId="Note">
    <w:name w:val="Note"/>
    <w:basedOn w:val="BodyText"/>
    <w:rsid w:val="00E413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1311"/>
    <w:rPr>
      <w:b/>
      <w:spacing w:val="0"/>
    </w:rPr>
  </w:style>
  <w:style w:type="paragraph" w:customStyle="1" w:styleId="SuperTitle">
    <w:name w:val="SuperTitle"/>
    <w:basedOn w:val="Title"/>
    <w:rsid w:val="00E41311"/>
    <w:pPr>
      <w:framePr w:wrap="auto" w:hAnchor="text" w:y="6049"/>
    </w:pPr>
    <w:rPr>
      <w:color w:val="000000"/>
      <w:sz w:val="40"/>
    </w:rPr>
  </w:style>
  <w:style w:type="paragraph" w:customStyle="1" w:styleId="TOCTitle">
    <w:name w:val="TOCTitle"/>
    <w:basedOn w:val="Heading1"/>
    <w:rsid w:val="00E41311"/>
    <w:pPr>
      <w:spacing w:after="240"/>
      <w:jc w:val="center"/>
      <w:outlineLvl w:val="9"/>
    </w:pPr>
    <w:rPr>
      <w:caps/>
    </w:rPr>
  </w:style>
  <w:style w:type="paragraph" w:customStyle="1" w:styleId="Version">
    <w:name w:val="Version"/>
    <w:rsid w:val="00E41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311"/>
    <w:pPr>
      <w:keepNext w:val="0"/>
      <w:tabs>
        <w:tab w:val="right" w:pos="4176"/>
      </w:tabs>
      <w:ind w:left="198" w:hanging="198"/>
    </w:pPr>
    <w:rPr>
      <w:rFonts w:ascii="Garamond" w:hAnsi="Garamond"/>
    </w:rPr>
  </w:style>
  <w:style w:type="paragraph" w:styleId="IndexHeading">
    <w:name w:val="index heading"/>
    <w:basedOn w:val="Normal"/>
    <w:next w:val="Index1"/>
    <w:semiHidden/>
    <w:rsid w:val="00E41311"/>
    <w:pPr>
      <w:spacing w:before="120" w:after="120"/>
    </w:pPr>
    <w:rPr>
      <w:rFonts w:ascii="Arial" w:hAnsi="Arial"/>
      <w:b/>
      <w:color w:val="918585"/>
      <w:sz w:val="24"/>
    </w:rPr>
  </w:style>
  <w:style w:type="paragraph" w:styleId="Header">
    <w:name w:val="header"/>
    <w:basedOn w:val="Normal"/>
    <w:link w:val="HeaderChar"/>
    <w:rsid w:val="00E41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311"/>
    <w:rPr>
      <w:rFonts w:ascii="Times New Roman" w:eastAsia="Times New Roman" w:hAnsi="Times New Roman" w:cs="Times New Roman"/>
      <w:sz w:val="16"/>
      <w:szCs w:val="20"/>
      <w:lang w:val="en-GB" w:eastAsia="en-US"/>
    </w:rPr>
  </w:style>
  <w:style w:type="paragraph" w:customStyle="1" w:styleId="Chapter">
    <w:name w:val="Chapter"/>
    <w:basedOn w:val="Normal"/>
    <w:rsid w:val="00E41311"/>
    <w:pPr>
      <w:spacing w:before="240"/>
    </w:pPr>
    <w:rPr>
      <w:rFonts w:ascii="Times New Roman" w:hAnsi="Times New Roman"/>
      <w:smallCaps/>
      <w:spacing w:val="80"/>
      <w:sz w:val="28"/>
    </w:rPr>
  </w:style>
  <w:style w:type="paragraph" w:customStyle="1" w:styleId="InChapter">
    <w:name w:val="InChapter"/>
    <w:basedOn w:val="Heading3"/>
    <w:rsid w:val="00E41311"/>
    <w:pPr>
      <w:spacing w:after="240"/>
      <w:outlineLvl w:val="9"/>
    </w:pPr>
    <w:rPr>
      <w:noProof/>
    </w:rPr>
  </w:style>
  <w:style w:type="paragraph" w:styleId="Index2">
    <w:name w:val="index 2"/>
    <w:basedOn w:val="Normal"/>
    <w:next w:val="Normal"/>
    <w:semiHidden/>
    <w:rsid w:val="00E41311"/>
    <w:pPr>
      <w:tabs>
        <w:tab w:val="right" w:pos="4176"/>
      </w:tabs>
      <w:ind w:left="568" w:hanging="284"/>
    </w:pPr>
    <w:rPr>
      <w:rFonts w:ascii="Garamond" w:hAnsi="Garamond"/>
    </w:rPr>
  </w:style>
  <w:style w:type="paragraph" w:customStyle="1" w:styleId="Byline">
    <w:name w:val="Byline"/>
    <w:rsid w:val="00E41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311"/>
    <w:pPr>
      <w:tabs>
        <w:tab w:val="clear" w:pos="3600"/>
        <w:tab w:val="clear" w:pos="3958"/>
      </w:tabs>
      <w:jc w:val="right"/>
    </w:pPr>
  </w:style>
  <w:style w:type="character" w:styleId="Emphasis">
    <w:name w:val="Emphasis"/>
    <w:basedOn w:val="DefaultParagraphFont"/>
    <w:qFormat/>
    <w:rsid w:val="00E41311"/>
    <w:rPr>
      <w:i/>
    </w:rPr>
  </w:style>
  <w:style w:type="paragraph" w:styleId="Caption">
    <w:name w:val="caption"/>
    <w:basedOn w:val="BodyText"/>
    <w:next w:val="Normal"/>
    <w:qFormat/>
    <w:rsid w:val="00E41311"/>
    <w:pPr>
      <w:framePr w:w="2268" w:hSpace="181" w:vSpace="181" w:wrap="around" w:vAnchor="text" w:hAnchor="page" w:x="1135" w:y="285" w:anchorLock="1"/>
    </w:pPr>
    <w:rPr>
      <w:i/>
    </w:rPr>
  </w:style>
  <w:style w:type="paragraph" w:customStyle="1" w:styleId="MiniTOCTitle">
    <w:name w:val="MiniTOCTitle"/>
    <w:basedOn w:val="Heading4"/>
    <w:rsid w:val="00E41311"/>
    <w:pPr>
      <w:spacing w:before="240"/>
      <w:outlineLvl w:val="9"/>
    </w:pPr>
    <w:rPr>
      <w:noProof/>
      <w:sz w:val="24"/>
    </w:rPr>
  </w:style>
  <w:style w:type="paragraph" w:customStyle="1" w:styleId="MiniTOCItem">
    <w:name w:val="MiniTOCItem"/>
    <w:basedOn w:val="ListBullet"/>
    <w:rsid w:val="00E41311"/>
    <w:pPr>
      <w:numPr>
        <w:numId w:val="0"/>
      </w:numPr>
      <w:tabs>
        <w:tab w:val="right" w:leader="dot" w:pos="6521"/>
      </w:tabs>
      <w:spacing w:before="0" w:after="0"/>
    </w:pPr>
  </w:style>
  <w:style w:type="paragraph" w:customStyle="1" w:styleId="TOFTitle">
    <w:name w:val="TOFTitle"/>
    <w:basedOn w:val="TOCTitle"/>
    <w:rsid w:val="00E41311"/>
  </w:style>
  <w:style w:type="paragraph" w:styleId="TableofFigures">
    <w:name w:val="table of figures"/>
    <w:basedOn w:val="Normal"/>
    <w:next w:val="Normal"/>
    <w:semiHidden/>
    <w:rsid w:val="00E41311"/>
    <w:pPr>
      <w:tabs>
        <w:tab w:val="right" w:leader="dot" w:pos="9072"/>
      </w:tabs>
      <w:ind w:left="970" w:hanging="403"/>
    </w:pPr>
    <w:rPr>
      <w:rFonts w:ascii="Times New Roman" w:hAnsi="Times New Roman"/>
      <w:b/>
    </w:rPr>
  </w:style>
  <w:style w:type="paragraph" w:styleId="ListNumber">
    <w:name w:val="List Number"/>
    <w:basedOn w:val="List"/>
    <w:rsid w:val="00E41311"/>
    <w:pPr>
      <w:numPr>
        <w:numId w:val="15"/>
      </w:numPr>
      <w:tabs>
        <w:tab w:val="clear" w:pos="340"/>
      </w:tabs>
    </w:pPr>
  </w:style>
  <w:style w:type="character" w:customStyle="1" w:styleId="WingdingSymbols">
    <w:name w:val="Wingding Symbols"/>
    <w:rsid w:val="00E41311"/>
    <w:rPr>
      <w:rFonts w:ascii="Wingdings" w:hAnsi="Wingdings"/>
    </w:rPr>
  </w:style>
  <w:style w:type="paragraph" w:customStyle="1" w:styleId="TableHeading">
    <w:name w:val="Table Heading"/>
    <w:basedOn w:val="HeadingBase"/>
    <w:rsid w:val="00E41311"/>
    <w:pPr>
      <w:keepLines/>
      <w:pBdr>
        <w:bottom w:val="single" w:sz="6" w:space="1" w:color="918585"/>
      </w:pBdr>
      <w:spacing w:before="240"/>
    </w:pPr>
  </w:style>
  <w:style w:type="character" w:customStyle="1" w:styleId="HotSpot">
    <w:name w:val="HotSpot"/>
    <w:rsid w:val="00E41311"/>
    <w:rPr>
      <w:color w:val="0033CC"/>
      <w:u w:val="none"/>
    </w:rPr>
  </w:style>
  <w:style w:type="paragraph" w:customStyle="1" w:styleId="BodyTextRight">
    <w:name w:val="Body Text Right"/>
    <w:basedOn w:val="BodyText"/>
    <w:rsid w:val="00E41311"/>
    <w:pPr>
      <w:spacing w:before="0" w:after="0"/>
      <w:jc w:val="right"/>
    </w:pPr>
  </w:style>
  <w:style w:type="paragraph" w:styleId="Index3">
    <w:name w:val="index 3"/>
    <w:basedOn w:val="ListNumber2"/>
    <w:next w:val="Normal"/>
    <w:semiHidden/>
    <w:rsid w:val="00E41311"/>
    <w:pPr>
      <w:numPr>
        <w:numId w:val="0"/>
      </w:numPr>
      <w:tabs>
        <w:tab w:val="right" w:leader="dot" w:pos="4176"/>
      </w:tabs>
    </w:pPr>
  </w:style>
  <w:style w:type="paragraph" w:styleId="ListNumber2">
    <w:name w:val="List Number 2"/>
    <w:basedOn w:val="List2"/>
    <w:rsid w:val="00E41311"/>
    <w:pPr>
      <w:numPr>
        <w:numId w:val="10"/>
      </w:numPr>
      <w:tabs>
        <w:tab w:val="clear" w:pos="1060"/>
      </w:tabs>
    </w:pPr>
  </w:style>
  <w:style w:type="paragraph" w:customStyle="1" w:styleId="MarginNote">
    <w:name w:val="Margin Note"/>
    <w:basedOn w:val="BodyText"/>
    <w:rsid w:val="00E41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311"/>
    <w:rPr>
      <w:sz w:val="32"/>
    </w:rPr>
  </w:style>
  <w:style w:type="paragraph" w:customStyle="1" w:styleId="HeadingProcedure">
    <w:name w:val="Heading Procedure"/>
    <w:basedOn w:val="HeadingBase"/>
    <w:next w:val="Normal"/>
    <w:rsid w:val="00E41311"/>
    <w:pPr>
      <w:tabs>
        <w:tab w:val="left" w:pos="0"/>
      </w:tabs>
      <w:spacing w:before="120" w:after="60"/>
    </w:pPr>
    <w:rPr>
      <w:i/>
      <w:color w:val="918585"/>
      <w:sz w:val="22"/>
    </w:rPr>
  </w:style>
  <w:style w:type="paragraph" w:customStyle="1" w:styleId="TableBodyText">
    <w:name w:val="Table Body Text"/>
    <w:basedOn w:val="BodyText"/>
    <w:rsid w:val="00E41311"/>
    <w:pPr>
      <w:spacing w:before="60" w:after="60"/>
    </w:pPr>
  </w:style>
  <w:style w:type="paragraph" w:styleId="ListContinue">
    <w:name w:val="List Continue"/>
    <w:basedOn w:val="List"/>
    <w:rsid w:val="00E41311"/>
    <w:pPr>
      <w:ind w:firstLine="0"/>
    </w:pPr>
  </w:style>
  <w:style w:type="paragraph" w:customStyle="1" w:styleId="ListNote">
    <w:name w:val="List Note"/>
    <w:basedOn w:val="List"/>
    <w:rsid w:val="00E41311"/>
    <w:pPr>
      <w:pBdr>
        <w:top w:val="single" w:sz="6" w:space="2" w:color="918585"/>
        <w:bottom w:val="single" w:sz="6" w:space="2" w:color="918585"/>
      </w:pBdr>
      <w:tabs>
        <w:tab w:val="left" w:pos="1021"/>
      </w:tabs>
      <w:ind w:firstLine="0"/>
    </w:pPr>
  </w:style>
  <w:style w:type="paragraph" w:customStyle="1" w:styleId="Warning">
    <w:name w:val="Warning"/>
    <w:basedOn w:val="BodyText"/>
    <w:rsid w:val="00E41311"/>
    <w:pPr>
      <w:shd w:val="clear" w:color="auto" w:fill="D9D9D9"/>
      <w:tabs>
        <w:tab w:val="left" w:pos="992"/>
      </w:tabs>
      <w:ind w:left="119" w:right="119"/>
    </w:pPr>
    <w:rPr>
      <w:sz w:val="20"/>
    </w:rPr>
  </w:style>
  <w:style w:type="paragraph" w:customStyle="1" w:styleId="MarginIcons">
    <w:name w:val="Margin Icons"/>
    <w:basedOn w:val="BodyText"/>
    <w:rsid w:val="00E41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311"/>
    <w:rPr>
      <w:rFonts w:ascii="Courier New" w:hAnsi="Courier New"/>
    </w:rPr>
  </w:style>
  <w:style w:type="paragraph" w:customStyle="1" w:styleId="NoteBullet">
    <w:name w:val="Note Bullet"/>
    <w:basedOn w:val="Note"/>
    <w:rsid w:val="00E41311"/>
    <w:pPr>
      <w:tabs>
        <w:tab w:val="clear" w:pos="680"/>
      </w:tabs>
      <w:spacing w:before="60" w:after="60"/>
    </w:pPr>
  </w:style>
  <w:style w:type="paragraph" w:customStyle="1" w:styleId="SubHeading2">
    <w:name w:val="SubHeading2"/>
    <w:basedOn w:val="HeadingBase"/>
    <w:rsid w:val="00E41311"/>
    <w:pPr>
      <w:spacing w:before="240" w:after="60"/>
    </w:pPr>
    <w:rPr>
      <w:sz w:val="20"/>
    </w:rPr>
  </w:style>
  <w:style w:type="paragraph" w:customStyle="1" w:styleId="SubHeading1">
    <w:name w:val="SubHeading1"/>
    <w:basedOn w:val="HeadingBase"/>
    <w:rsid w:val="00E41311"/>
    <w:pPr>
      <w:spacing w:before="240" w:after="60"/>
    </w:pPr>
    <w:rPr>
      <w:color w:val="918585"/>
      <w:sz w:val="22"/>
    </w:rPr>
  </w:style>
  <w:style w:type="paragraph" w:customStyle="1" w:styleId="SideHeading">
    <w:name w:val="Side Heading"/>
    <w:basedOn w:val="HeadingBase"/>
    <w:rsid w:val="00E41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311"/>
    <w:pPr>
      <w:tabs>
        <w:tab w:val="num" w:pos="360"/>
      </w:tabs>
    </w:pPr>
  </w:style>
  <w:style w:type="paragraph" w:styleId="PlainText">
    <w:name w:val="Plain Text"/>
    <w:basedOn w:val="Normal"/>
    <w:link w:val="PlainTextChar"/>
    <w:rsid w:val="00E41311"/>
    <w:rPr>
      <w:sz w:val="20"/>
    </w:rPr>
  </w:style>
  <w:style w:type="character" w:customStyle="1" w:styleId="PlainTextChar">
    <w:name w:val="Plain Text Char"/>
    <w:basedOn w:val="DefaultParagraphFont"/>
    <w:link w:val="PlainText"/>
    <w:rsid w:val="00E41311"/>
    <w:rPr>
      <w:rFonts w:ascii="Courier New" w:eastAsia="Times New Roman" w:hAnsi="Courier New" w:cs="Times New Roman"/>
      <w:sz w:val="20"/>
      <w:szCs w:val="20"/>
      <w:lang w:eastAsia="en-US"/>
    </w:rPr>
  </w:style>
  <w:style w:type="character" w:customStyle="1" w:styleId="MenuOption">
    <w:name w:val="Menu Option"/>
    <w:basedOn w:val="DefaultParagraphFont"/>
    <w:rsid w:val="00E41311"/>
    <w:rPr>
      <w:b/>
      <w:smallCaps/>
    </w:rPr>
  </w:style>
  <w:style w:type="paragraph" w:customStyle="1" w:styleId="TableListNumber">
    <w:name w:val="Table List Number"/>
    <w:basedOn w:val="ListNumber"/>
    <w:rsid w:val="00E41311"/>
    <w:pPr>
      <w:numPr>
        <w:numId w:val="0"/>
      </w:numPr>
    </w:pPr>
  </w:style>
  <w:style w:type="paragraph" w:styleId="TOC4">
    <w:name w:val="toc 4"/>
    <w:basedOn w:val="TOCBase"/>
    <w:next w:val="Normal"/>
    <w:semiHidden/>
    <w:rsid w:val="00E41311"/>
    <w:pPr>
      <w:tabs>
        <w:tab w:val="right" w:leader="dot" w:pos="9071"/>
      </w:tabs>
      <w:ind w:left="1701"/>
    </w:pPr>
  </w:style>
  <w:style w:type="paragraph" w:customStyle="1" w:styleId="ListAlpha">
    <w:name w:val="List Alpha"/>
    <w:basedOn w:val="List"/>
    <w:rsid w:val="00E41311"/>
    <w:pPr>
      <w:numPr>
        <w:numId w:val="9"/>
      </w:numPr>
    </w:pPr>
  </w:style>
  <w:style w:type="paragraph" w:customStyle="1" w:styleId="ListAlpha2">
    <w:name w:val="List Alpha 2"/>
    <w:basedOn w:val="List2"/>
    <w:rsid w:val="00E41311"/>
    <w:pPr>
      <w:numPr>
        <w:numId w:val="8"/>
      </w:numPr>
    </w:pPr>
  </w:style>
  <w:style w:type="paragraph" w:styleId="List2">
    <w:name w:val="List 2"/>
    <w:basedOn w:val="BodyText"/>
    <w:rsid w:val="00E41311"/>
    <w:pPr>
      <w:tabs>
        <w:tab w:val="left" w:pos="680"/>
      </w:tabs>
      <w:spacing w:before="60" w:after="60"/>
      <w:ind w:left="680" w:hanging="340"/>
    </w:pPr>
  </w:style>
  <w:style w:type="paragraph" w:styleId="List3">
    <w:name w:val="List 3"/>
    <w:basedOn w:val="BodyText"/>
    <w:rsid w:val="00E41311"/>
    <w:pPr>
      <w:tabs>
        <w:tab w:val="left" w:pos="1021"/>
      </w:tabs>
      <w:spacing w:before="60" w:after="60"/>
      <w:ind w:left="1020" w:hanging="340"/>
    </w:pPr>
  </w:style>
  <w:style w:type="paragraph" w:styleId="List4">
    <w:name w:val="List 4"/>
    <w:basedOn w:val="BodyText"/>
    <w:rsid w:val="00E41311"/>
    <w:pPr>
      <w:tabs>
        <w:tab w:val="left" w:pos="1361"/>
      </w:tabs>
      <w:spacing w:before="60" w:after="60"/>
      <w:ind w:left="1361" w:hanging="340"/>
    </w:pPr>
  </w:style>
  <w:style w:type="paragraph" w:styleId="List5">
    <w:name w:val="List 5"/>
    <w:basedOn w:val="BodyText"/>
    <w:rsid w:val="00E41311"/>
    <w:pPr>
      <w:tabs>
        <w:tab w:val="left" w:pos="1701"/>
      </w:tabs>
      <w:spacing w:before="60" w:after="60"/>
      <w:ind w:left="1701" w:hanging="340"/>
    </w:pPr>
  </w:style>
  <w:style w:type="paragraph" w:styleId="ListBullet3">
    <w:name w:val="List Bullet 3"/>
    <w:basedOn w:val="List3"/>
    <w:rsid w:val="00E41311"/>
    <w:pPr>
      <w:numPr>
        <w:numId w:val="14"/>
      </w:numPr>
      <w:tabs>
        <w:tab w:val="clear" w:pos="1021"/>
      </w:tabs>
      <w:ind w:left="1037" w:hanging="357"/>
    </w:pPr>
  </w:style>
  <w:style w:type="paragraph" w:styleId="ListBullet4">
    <w:name w:val="List Bullet 4"/>
    <w:basedOn w:val="List4"/>
    <w:rsid w:val="00E41311"/>
    <w:pPr>
      <w:numPr>
        <w:numId w:val="3"/>
      </w:numPr>
      <w:tabs>
        <w:tab w:val="clear" w:pos="1361"/>
      </w:tabs>
    </w:pPr>
  </w:style>
  <w:style w:type="paragraph" w:styleId="ListBullet5">
    <w:name w:val="List Bullet 5"/>
    <w:basedOn w:val="List5"/>
    <w:rsid w:val="00E41311"/>
    <w:pPr>
      <w:numPr>
        <w:numId w:val="4"/>
      </w:numPr>
    </w:pPr>
  </w:style>
  <w:style w:type="paragraph" w:styleId="ListContinue2">
    <w:name w:val="List Continue 2"/>
    <w:basedOn w:val="List2"/>
    <w:rsid w:val="00E41311"/>
    <w:pPr>
      <w:ind w:firstLine="0"/>
    </w:pPr>
  </w:style>
  <w:style w:type="paragraph" w:styleId="ListContinue3">
    <w:name w:val="List Continue 3"/>
    <w:basedOn w:val="List3"/>
    <w:rsid w:val="00E41311"/>
    <w:pPr>
      <w:ind w:left="1021" w:firstLine="0"/>
    </w:pPr>
  </w:style>
  <w:style w:type="paragraph" w:styleId="ListContinue4">
    <w:name w:val="List Continue 4"/>
    <w:basedOn w:val="List4"/>
    <w:rsid w:val="00E41311"/>
    <w:pPr>
      <w:ind w:firstLine="0"/>
    </w:pPr>
  </w:style>
  <w:style w:type="paragraph" w:styleId="ListContinue5">
    <w:name w:val="List Continue 5"/>
    <w:basedOn w:val="List5"/>
    <w:rsid w:val="00E41311"/>
    <w:pPr>
      <w:ind w:firstLine="0"/>
    </w:pPr>
  </w:style>
  <w:style w:type="paragraph" w:styleId="ListNumber3">
    <w:name w:val="List Number 3"/>
    <w:basedOn w:val="List3"/>
    <w:rsid w:val="00E41311"/>
    <w:pPr>
      <w:numPr>
        <w:numId w:val="5"/>
      </w:numPr>
    </w:pPr>
  </w:style>
  <w:style w:type="paragraph" w:styleId="ListNumber4">
    <w:name w:val="List Number 4"/>
    <w:basedOn w:val="List4"/>
    <w:rsid w:val="00E41311"/>
    <w:pPr>
      <w:numPr>
        <w:numId w:val="6"/>
      </w:numPr>
    </w:pPr>
  </w:style>
  <w:style w:type="paragraph" w:styleId="ListNumber5">
    <w:name w:val="List Number 5"/>
    <w:basedOn w:val="List5"/>
    <w:rsid w:val="00E41311"/>
    <w:pPr>
      <w:numPr>
        <w:numId w:val="7"/>
      </w:numPr>
    </w:pPr>
  </w:style>
  <w:style w:type="paragraph" w:styleId="BlockText">
    <w:name w:val="Block Text"/>
    <w:basedOn w:val="Normal"/>
    <w:rsid w:val="00E41311"/>
    <w:pPr>
      <w:spacing w:after="120"/>
      <w:ind w:left="1440" w:right="1440"/>
    </w:pPr>
  </w:style>
  <w:style w:type="character" w:customStyle="1" w:styleId="Subscript">
    <w:name w:val="Subscript"/>
    <w:basedOn w:val="DefaultParagraphFont"/>
    <w:rsid w:val="00E41311"/>
    <w:rPr>
      <w:sz w:val="16"/>
      <w:vertAlign w:val="subscript"/>
    </w:rPr>
  </w:style>
  <w:style w:type="character" w:customStyle="1" w:styleId="Superscript">
    <w:name w:val="Superscript"/>
    <w:basedOn w:val="DefaultParagraphFont"/>
    <w:rsid w:val="00E41311"/>
    <w:rPr>
      <w:sz w:val="16"/>
      <w:vertAlign w:val="superscript"/>
    </w:rPr>
  </w:style>
  <w:style w:type="character" w:customStyle="1" w:styleId="Symbols">
    <w:name w:val="Symbols"/>
    <w:basedOn w:val="DefaultParagraphFont"/>
    <w:rsid w:val="00E41311"/>
    <w:rPr>
      <w:rFonts w:ascii="Symbol" w:hAnsi="Symbol"/>
    </w:rPr>
  </w:style>
  <w:style w:type="character" w:customStyle="1" w:styleId="MenuOptions">
    <w:name w:val="Menu Options"/>
    <w:basedOn w:val="DefaultParagraphFont"/>
    <w:rsid w:val="00E41311"/>
    <w:rPr>
      <w:rFonts w:ascii="Arial Narrow" w:hAnsi="Arial Narrow"/>
      <w:smallCaps/>
    </w:rPr>
  </w:style>
  <w:style w:type="character" w:customStyle="1" w:styleId="Buttons">
    <w:name w:val="Buttons"/>
    <w:basedOn w:val="DefaultParagraphFont"/>
    <w:rsid w:val="00E41311"/>
    <w:rPr>
      <w:b/>
    </w:rPr>
  </w:style>
  <w:style w:type="character" w:customStyle="1" w:styleId="Underlined">
    <w:name w:val="Underlined"/>
    <w:basedOn w:val="DefaultParagraphFont"/>
    <w:rsid w:val="00E41311"/>
    <w:rPr>
      <w:u w:val="single"/>
    </w:rPr>
  </w:style>
  <w:style w:type="paragraph" w:customStyle="1" w:styleId="TableBodyTextRight">
    <w:name w:val="Table Body Text Right"/>
    <w:basedOn w:val="TableBodyText"/>
    <w:rsid w:val="00E41311"/>
    <w:pPr>
      <w:widowControl w:val="0"/>
      <w:autoSpaceDE w:val="0"/>
      <w:autoSpaceDN w:val="0"/>
      <w:adjustRightInd w:val="0"/>
      <w:jc w:val="right"/>
    </w:pPr>
    <w:rPr>
      <w:rFonts w:cs="Arial"/>
      <w:szCs w:val="18"/>
    </w:rPr>
  </w:style>
  <w:style w:type="paragraph" w:customStyle="1" w:styleId="CopyrightText">
    <w:name w:val="Copyright Text"/>
    <w:basedOn w:val="BodyText"/>
    <w:rsid w:val="00E41311"/>
    <w:rPr>
      <w:sz w:val="18"/>
    </w:rPr>
  </w:style>
  <w:style w:type="paragraph" w:customStyle="1" w:styleId="BodySmallRight">
    <w:name w:val="Body Small Right"/>
    <w:basedOn w:val="BodyTextRight"/>
    <w:rsid w:val="00E41311"/>
    <w:rPr>
      <w:sz w:val="18"/>
      <w:szCs w:val="18"/>
    </w:rPr>
  </w:style>
  <w:style w:type="paragraph" w:customStyle="1" w:styleId="MarginEdition">
    <w:name w:val="Margin Edition"/>
    <w:basedOn w:val="MarginNote"/>
    <w:rsid w:val="00E41311"/>
    <w:pPr>
      <w:spacing w:before="0" w:after="0"/>
    </w:pPr>
    <w:rPr>
      <w:rFonts w:ascii="Times New Roman" w:hAnsi="Times New Roman"/>
      <w:color w:val="999999"/>
    </w:rPr>
  </w:style>
  <w:style w:type="paragraph" w:customStyle="1" w:styleId="Spacer">
    <w:name w:val="Spacer"/>
    <w:basedOn w:val="Normal"/>
    <w:rsid w:val="00E41311"/>
    <w:rPr>
      <w:sz w:val="2"/>
      <w:szCs w:val="2"/>
    </w:rPr>
  </w:style>
  <w:style w:type="character" w:customStyle="1" w:styleId="Small">
    <w:name w:val="Small"/>
    <w:basedOn w:val="DefaultParagraphFont"/>
    <w:rsid w:val="00E41311"/>
    <w:rPr>
      <w:sz w:val="16"/>
    </w:rPr>
  </w:style>
  <w:style w:type="paragraph" w:customStyle="1" w:styleId="WideTable">
    <w:name w:val="Wide Table"/>
    <w:basedOn w:val="Normal"/>
    <w:rsid w:val="00E41311"/>
    <w:pPr>
      <w:ind w:left="-1418"/>
    </w:pPr>
    <w:rPr>
      <w:sz w:val="2"/>
      <w:szCs w:val="2"/>
    </w:rPr>
  </w:style>
  <w:style w:type="character" w:styleId="PageNumber">
    <w:name w:val="page number"/>
    <w:basedOn w:val="DefaultParagraphFont"/>
    <w:rsid w:val="00E41311"/>
  </w:style>
  <w:style w:type="paragraph" w:styleId="Quote">
    <w:name w:val="Quote"/>
    <w:basedOn w:val="Heading1"/>
    <w:link w:val="QuoteChar"/>
    <w:qFormat/>
    <w:rsid w:val="00E41311"/>
    <w:rPr>
      <w:b w:val="0"/>
      <w:sz w:val="72"/>
      <w:szCs w:val="72"/>
      <w:lang w:val="en-NZ"/>
    </w:rPr>
  </w:style>
  <w:style w:type="character" w:customStyle="1" w:styleId="QuoteChar">
    <w:name w:val="Quote Char"/>
    <w:basedOn w:val="DefaultParagraphFont"/>
    <w:link w:val="Quote"/>
    <w:rsid w:val="00E41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311"/>
    <w:pPr>
      <w:pageBreakBefore/>
    </w:pPr>
  </w:style>
  <w:style w:type="paragraph" w:customStyle="1" w:styleId="Border">
    <w:name w:val="Border"/>
    <w:basedOn w:val="Normal"/>
    <w:qFormat/>
    <w:rsid w:val="00E41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311"/>
    <w:rPr>
      <w:b/>
      <w:bCs/>
      <w:i/>
      <w:iCs/>
      <w:color w:val="auto"/>
    </w:rPr>
  </w:style>
  <w:style w:type="paragraph" w:styleId="IntenseQuote">
    <w:name w:val="Intense Quote"/>
    <w:basedOn w:val="Normal"/>
    <w:next w:val="Normal"/>
    <w:link w:val="IntenseQuoteChar"/>
    <w:uiPriority w:val="30"/>
    <w:qFormat/>
    <w:rsid w:val="00E41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311"/>
    <w:rPr>
      <w:smallCaps/>
      <w:color w:val="auto"/>
      <w:u w:val="single"/>
    </w:rPr>
  </w:style>
  <w:style w:type="character" w:styleId="IntenseReference">
    <w:name w:val="Intense Reference"/>
    <w:basedOn w:val="DefaultParagraphFont"/>
    <w:uiPriority w:val="32"/>
    <w:qFormat/>
    <w:rsid w:val="00E41311"/>
    <w:rPr>
      <w:b/>
      <w:bCs/>
      <w:smallCaps/>
      <w:color w:val="auto"/>
      <w:spacing w:val="5"/>
      <w:u w:val="single"/>
    </w:rPr>
  </w:style>
  <w:style w:type="paragraph" w:customStyle="1" w:styleId="2ColumnHeading">
    <w:name w:val="2Column Heading"/>
    <w:basedOn w:val="BodyText"/>
    <w:qFormat/>
    <w:rsid w:val="00E41311"/>
    <w:pPr>
      <w:spacing w:after="60"/>
      <w:ind w:left="-2268"/>
    </w:pPr>
    <w:rPr>
      <w:b/>
    </w:rPr>
  </w:style>
  <w:style w:type="paragraph" w:customStyle="1" w:styleId="Heading1TOC">
    <w:name w:val="Heading1 TOC"/>
    <w:basedOn w:val="Normal"/>
    <w:qFormat/>
    <w:rsid w:val="00E41311"/>
    <w:pPr>
      <w:spacing w:before="240" w:after="120"/>
    </w:pPr>
    <w:rPr>
      <w:rFonts w:ascii="Times New Roman" w:hAnsi="Times New Roman"/>
      <w:b/>
      <w:sz w:val="32"/>
    </w:rPr>
  </w:style>
  <w:style w:type="paragraph" w:customStyle="1" w:styleId="Heading2TOC">
    <w:name w:val="Heading2 TOC"/>
    <w:basedOn w:val="Normal"/>
    <w:qFormat/>
    <w:rsid w:val="00E41311"/>
    <w:pPr>
      <w:spacing w:before="240" w:after="60"/>
    </w:pPr>
    <w:rPr>
      <w:rFonts w:ascii="Times New Roman" w:hAnsi="Times New Roman"/>
      <w:b/>
      <w:sz w:val="28"/>
    </w:rPr>
  </w:style>
  <w:style w:type="character" w:customStyle="1" w:styleId="Underline">
    <w:name w:val="Underline"/>
    <w:basedOn w:val="DefaultParagraphFont"/>
    <w:qFormat/>
    <w:rsid w:val="00E41311"/>
    <w:rPr>
      <w:u w:val="single"/>
    </w:rPr>
  </w:style>
  <w:style w:type="character" w:customStyle="1" w:styleId="BoldandItalics">
    <w:name w:val="Bold and Italics"/>
    <w:qFormat/>
    <w:rsid w:val="00E41311"/>
    <w:rPr>
      <w:b/>
      <w:i/>
      <w:u w:val="none"/>
    </w:rPr>
  </w:style>
  <w:style w:type="paragraph" w:styleId="BalloonText">
    <w:name w:val="Balloon Text"/>
    <w:basedOn w:val="Normal"/>
    <w:link w:val="BalloonTextChar"/>
    <w:rsid w:val="00E41311"/>
    <w:rPr>
      <w:rFonts w:ascii="Tahoma" w:hAnsi="Tahoma" w:cs="Tahoma"/>
      <w:sz w:val="16"/>
      <w:szCs w:val="16"/>
    </w:rPr>
  </w:style>
  <w:style w:type="character" w:customStyle="1" w:styleId="BalloonTextChar">
    <w:name w:val="Balloon Text Char"/>
    <w:basedOn w:val="DefaultParagraphFont"/>
    <w:link w:val="BalloonText"/>
    <w:rsid w:val="00E41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311"/>
    <w:rPr>
      <w:b/>
      <w:color w:val="660033"/>
      <w:spacing w:val="0"/>
    </w:rPr>
  </w:style>
  <w:style w:type="paragraph" w:customStyle="1" w:styleId="Nameditemlist">
    <w:name w:val="Named item list"/>
    <w:basedOn w:val="BodyText"/>
    <w:qFormat/>
    <w:rsid w:val="00E41311"/>
    <w:pPr>
      <w:tabs>
        <w:tab w:val="left" w:pos="2835"/>
      </w:tabs>
      <w:ind w:left="2835" w:hanging="2835"/>
    </w:pPr>
  </w:style>
  <w:style w:type="paragraph" w:customStyle="1" w:styleId="BodyTextnopadding">
    <w:name w:val="Body Text no padding"/>
    <w:basedOn w:val="BodyText"/>
    <w:qFormat/>
    <w:rsid w:val="00E41311"/>
    <w:pPr>
      <w:spacing w:before="0" w:after="0"/>
    </w:pPr>
  </w:style>
  <w:style w:type="paragraph" w:customStyle="1" w:styleId="BodyTextBold">
    <w:name w:val="Body Text Bold"/>
    <w:basedOn w:val="BodyText"/>
    <w:qFormat/>
    <w:rsid w:val="00E41311"/>
    <w:rPr>
      <w:b/>
    </w:rPr>
  </w:style>
  <w:style w:type="character" w:styleId="Hyperlink">
    <w:name w:val="Hyperlink"/>
    <w:basedOn w:val="DefaultParagraphFont"/>
    <w:uiPriority w:val="99"/>
    <w:unhideWhenUsed/>
    <w:rsid w:val="00D24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Words>
  <Characters>3571</Characters>
  <Application>Microsoft Office Word</Application>
  <DocSecurity>0</DocSecurity>
  <Lines>93</Lines>
  <Paragraphs>68</Paragraphs>
  <ScaleCrop>false</ScaleCrop>
  <Company>Author-it Software Corporation Ltd.</Company>
  <LinksUpToDate>false</LinksUpToDate>
  <CharactersWithSpaces>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UEERA0059 Prepare and connect refrigerant tubing and fittings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