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D11" w:rsidP="008E7D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UEERA0057 Operate ammonia refrigeration plant</w:t>
      </w:r>
      <w:r>
        <w:fldChar w:fldCharType="end"/>
      </w:r>
    </w:p>
    <w:p w:rsidR="008E7D11" w:rsidP="008E7D11">
      <w:pPr>
        <w:pStyle w:val="Version"/>
        <w:sectPr w:rsidSect="00710C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C1B" w:rsidP="00710C1B">
      <w:pPr>
        <w:pStyle w:val="SuperHeading"/>
      </w:pPr>
      <w:r w:rsidRPr="00710C1B">
        <w:t>UEERA0057 Operate ammonia refrigeration plant</w:t>
      </w:r>
    </w:p>
    <w:p w:rsidR="00000000" w:rsidRPr="00710C1B" w:rsidP="00710C1B">
      <w:pPr>
        <w:pStyle w:val="Heading1"/>
      </w:pPr>
      <w:bookmarkStart w:id="1" w:name="O_1079001"/>
      <w:bookmarkEnd w:id="1"/>
      <w:r w:rsidRPr="00710C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C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t>Release 1. This is the first release of this unit of competency in the UEE Electrotechnology Training Package.</w:t>
            </w:r>
          </w:p>
        </w:tc>
      </w:tr>
    </w:tbl>
    <w:p w:rsidR="00000000" w:rsidRPr="00710C1B" w:rsidP="00710C1B">
      <w:pPr>
        <w:pStyle w:val="NoPaddingFontSize1"/>
      </w:pPr>
    </w:p>
    <w:p w:rsidR="00000000" w:rsidRPr="00710C1B" w:rsidP="00710C1B">
      <w:pPr>
        <w:pStyle w:val="AllowPageBreak"/>
      </w:pPr>
    </w:p>
    <w:p w:rsidR="00000000" w:rsidRPr="00710C1B" w:rsidP="00710C1B">
      <w:pPr>
        <w:pStyle w:val="Heading1"/>
      </w:pPr>
      <w:bookmarkStart w:id="2" w:name="O_1079002"/>
      <w:bookmarkEnd w:id="2"/>
      <w:r w:rsidRPr="00710C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C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t>This unit involves the skills and knowledge required to operate ammonia (R717) ref</w:t>
            </w:r>
            <w:r w:rsidRPr="00710C1B">
              <w:t>rigerant refrigeration plants.</w:t>
            </w:r>
          </w:p>
          <w:p w:rsidR="00000000" w:rsidRPr="00710C1B" w:rsidP="00710C1B">
            <w:pPr>
              <w:pStyle w:val="BodyText"/>
            </w:pPr>
            <w:r w:rsidRPr="00710C1B">
              <w:t>It includes operating an industrial refrigeration plant using ammonia as the refrigerant. It also includes applying specialised refrigeration principles that apply to ammonia, specifying the normal operating parameters for th</w:t>
            </w:r>
            <w:r w:rsidRPr="00710C1B">
              <w:t>e plant, rectifying faults and defective components within organisational guidelines, and completing the necessary service documentation.</w:t>
            </w:r>
          </w:p>
          <w:p w:rsidR="00000000" w:rsidRPr="00710C1B" w:rsidP="00710C1B">
            <w:pPr>
              <w:pStyle w:val="BodyText"/>
            </w:pPr>
            <w:r w:rsidRPr="00710C1B">
              <w:t>The skills and knowledge in this unit will be applied by ammonia refrigeration plant operators during the start-up, op</w:t>
            </w:r>
            <w:r w:rsidRPr="00710C1B">
              <w:t>eration and shutdown of ammonia refrigeration plants.</w:t>
            </w:r>
          </w:p>
          <w:p w:rsidR="00000000" w:rsidRPr="00710C1B" w:rsidP="00710C1B">
            <w:pPr>
              <w:pStyle w:val="BodyText"/>
            </w:pPr>
            <w:r w:rsidRPr="00710C1B">
              <w:t>The skills and knowledge described in this unit require a licence or permit to practice in the workplace where work is carried out on electrical installations which are designed to operate at voltages g</w:t>
            </w:r>
            <w:r w:rsidRPr="00710C1B">
              <w:t>reater than 50 volt (V) alternating current (a.c.) or 120 V direct current (d.c).</w:t>
            </w:r>
          </w:p>
          <w:p w:rsidR="00000000" w:rsidRPr="00710C1B" w:rsidP="00710C1B">
            <w:pPr>
              <w:pStyle w:val="BodyText"/>
            </w:pPr>
            <w:r w:rsidRPr="00710C1B">
              <w:t>Competency development activities in this unit are subject to regulations directly related to licensing. Where a licence or permit to practice is not held, skills and knowled</w:t>
            </w:r>
            <w:r w:rsidRPr="00710C1B">
              <w:t xml:space="preserve">ge described in this unit require a relevant contract of training, such as an Australian Apprenticeship. </w:t>
            </w:r>
          </w:p>
          <w:p w:rsidR="00000000" w:rsidRPr="00710C1B" w:rsidP="00710C1B">
            <w:pPr>
              <w:pStyle w:val="BodyText"/>
            </w:pPr>
            <w:r w:rsidRPr="00710C1B">
              <w:t>Additional and/or other conditions may apply in some jurisdictions subject to regulations related to refrigeration, air conditioning or electrical wor</w:t>
            </w:r>
            <w:r w:rsidRPr="00710C1B">
              <w:t>k. Practice in the workplace and during training is also subject to work health and safety (WHS)/occupational health and safety (OHS) regulations</w:t>
            </w:r>
          </w:p>
          <w:p w:rsidR="00000000" w:rsidRPr="00710C1B" w:rsidP="00710C1B">
            <w:pPr>
              <w:pStyle w:val="BodyText"/>
            </w:pPr>
            <w:r w:rsidRPr="00710C1B">
              <w:t>Permits may also be required for some work environments, such as confined spaces, working aloft, near live ele</w:t>
            </w:r>
            <w:r w:rsidRPr="00710C1B">
              <w:t>ctrical apparatus and site rehabilitation.</w:t>
            </w:r>
          </w:p>
        </w:tc>
      </w:tr>
    </w:tbl>
    <w:p w:rsidR="00000000" w:rsidRPr="00710C1B" w:rsidP="00710C1B">
      <w:pPr>
        <w:pStyle w:val="NoPaddingFontSize1"/>
      </w:pPr>
    </w:p>
    <w:p w:rsidR="00000000" w:rsidRPr="00710C1B" w:rsidP="00710C1B">
      <w:pPr>
        <w:pStyle w:val="AllowPageBreak"/>
      </w:pPr>
    </w:p>
    <w:p w:rsidR="00000000" w:rsidRPr="00710C1B" w:rsidP="00710C1B">
      <w:pPr>
        <w:pStyle w:val="Heading1"/>
      </w:pPr>
      <w:bookmarkStart w:id="3" w:name="O_1079003"/>
      <w:bookmarkEnd w:id="3"/>
      <w:r w:rsidRPr="00710C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C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t>UEERA0005 Apply safety awareness and legal requirements for ammonia refrigerant</w:t>
            </w:r>
          </w:p>
        </w:tc>
      </w:tr>
    </w:tbl>
    <w:p w:rsidR="00000000" w:rsidRPr="00710C1B" w:rsidP="00710C1B">
      <w:pPr>
        <w:pStyle w:val="NoPaddingFontSize1"/>
      </w:pPr>
    </w:p>
    <w:p w:rsidR="00000000" w:rsidRPr="00710C1B" w:rsidP="00710C1B">
      <w:pPr>
        <w:pStyle w:val="AllowPageBreak"/>
      </w:pPr>
    </w:p>
    <w:p w:rsidR="00000000" w:rsidRPr="00710C1B" w:rsidP="00710C1B">
      <w:pPr>
        <w:pStyle w:val="Heading1"/>
      </w:pPr>
      <w:bookmarkStart w:id="4" w:name="O_1079004"/>
      <w:bookmarkEnd w:id="4"/>
      <w:r w:rsidRPr="00710C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C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t>Refrigeration and air-conditioning</w:t>
            </w:r>
          </w:p>
        </w:tc>
      </w:tr>
    </w:tbl>
    <w:p w:rsidR="00000000" w:rsidRPr="00710C1B" w:rsidP="00710C1B">
      <w:pPr>
        <w:pStyle w:val="NoPaddingFontSize1"/>
      </w:pPr>
    </w:p>
    <w:p w:rsidR="00000000" w:rsidRPr="00710C1B" w:rsidP="00710C1B">
      <w:pPr>
        <w:pStyle w:val="AllowPageBreak"/>
      </w:pPr>
    </w:p>
    <w:p w:rsidR="00000000" w:rsidRPr="00710C1B" w:rsidP="00710C1B">
      <w:pPr>
        <w:pStyle w:val="Heading1"/>
      </w:pPr>
      <w:bookmarkStart w:id="5" w:name="O_1079005"/>
      <w:bookmarkEnd w:id="5"/>
      <w:r w:rsidRPr="00710C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C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t>Electrotechnology</w:t>
            </w:r>
          </w:p>
        </w:tc>
      </w:tr>
    </w:tbl>
    <w:p w:rsidR="00000000" w:rsidRPr="00710C1B" w:rsidP="00710C1B">
      <w:pPr>
        <w:pStyle w:val="NoPaddingFontSize1"/>
      </w:pPr>
    </w:p>
    <w:p w:rsidR="00000000" w:rsidRPr="00710C1B" w:rsidP="00710C1B">
      <w:pPr>
        <w:pStyle w:val="AllowPageBreak"/>
      </w:pPr>
    </w:p>
    <w:p w:rsidR="00000000" w:rsidRPr="00710C1B" w:rsidP="00710C1B">
      <w:pPr>
        <w:pStyle w:val="Heading1"/>
      </w:pPr>
      <w:bookmarkStart w:id="6" w:name="O_1079006"/>
      <w:bookmarkEnd w:id="6"/>
      <w:r w:rsidRPr="00710C1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PERFORMANCE CRITERIA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Performance criteria describe the performance needed to demonstrate achievement of the element.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rPr>
                <w:rStyle w:val="SpecialBold"/>
              </w:rPr>
              <w:t>Prepare to operate ammonia refrigerant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WHS/OHS hazards, risk control methods, relevant standards, codes and legislation are obtained and applied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Ammonia refrigerant, refrigeration system and components on which the work is to be carried out are identified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WHS/OHS risk control measures, safety data sheets (SDS)/material safety data sheets (MSDS) and workplace procedures are followed in preparation for refrigeration work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Safety hazards not previously identified are reported and advice on risk control m</w:t>
            </w:r>
            <w:r w:rsidRPr="00710C1B">
              <w:t>easures is sought from work supervisor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Nature of work is obtained from documentation or work supervisor to determine the scope of work to be undertaken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Advice is sought from work supervisor to ensure the work is coordinated effectively with o</w:t>
            </w:r>
            <w:r w:rsidRPr="00710C1B">
              <w:t xml:space="preserve">thers 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Sources of materials required for refrigeration work are accessed in accordance with workplace procedures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Tools, equipment and testing d</w:t>
            </w:r>
            <w:r w:rsidRPr="00710C1B">
              <w:t>evices needed to carry out refrigeration work are obtained and checked for correct operation and safety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Refrigeration system operating conditions are established from service documentation, supervisor and the application of refrigeration fundamental</w:t>
            </w:r>
            <w:r w:rsidRPr="00710C1B">
              <w:t>s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rPr>
                <w:rStyle w:val="SpecialBold"/>
              </w:rPr>
              <w:t>Operate ammonia refrigeration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 xml:space="preserve">Refrigeration plant is started up in accordance with workplace procedures, industry standards, codes of </w:t>
            </w:r>
            <w:r w:rsidRPr="00710C1B">
              <w:t>practice and regulations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Measurement of refrigeration system operating parameters is conducted in ac</w:t>
            </w:r>
            <w:r w:rsidRPr="00710C1B">
              <w:t>cordance with WHS/OHS requirements and workplace safety procedures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Supervisor or person in charge is advised of system and components performing outside their operating parameters to facilitate remedial action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Refrigeration plant remedial action is determined and implemented, as required, in accordance with workplace procedures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Refrigeration service procedures are completed in accordance with workplace procedures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Daily processing requirements are c</w:t>
            </w:r>
            <w:r w:rsidRPr="00710C1B">
              <w:t>alculated to predict demand on refrigeration plant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Oral and written information on the performance of the refrigeration plant is exchanged formally and informally between the operator and supervisor/production team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Equipment controls are adjusted to prepare refrigeration plant to meet the load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Action is taken in a proactive way to maintain the performance of the plant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Demands on plant consumables are calculated to facilitate the ordering of replacement</w:t>
            </w:r>
            <w:r w:rsidRPr="00710C1B">
              <w:t>s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Strategies are developed to meet demand in the event of refrigeration plant equipment malfunction or breakdown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rPr>
                <w:rStyle w:val="SpecialBold"/>
              </w:rPr>
              <w:t>Complete work and report on ammonia refrigeration plant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Worksite is cleaned and made safe in accordance with workplace procedures</w:t>
            </w:r>
          </w:p>
        </w:tc>
      </w:tr>
      <w:tr w:rsidTr="00710C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t>Refrigeration plant performance records are maintained and distributed in accordance with workplace procedures</w:t>
            </w:r>
          </w:p>
        </w:tc>
      </w:tr>
    </w:tbl>
    <w:p w:rsidR="00000000" w:rsidRPr="00710C1B" w:rsidP="00710C1B">
      <w:pPr>
        <w:pStyle w:val="NoPaddingFontSize1"/>
      </w:pPr>
    </w:p>
    <w:p w:rsidR="00000000" w:rsidRPr="00710C1B" w:rsidP="00710C1B">
      <w:pPr>
        <w:pStyle w:val="AllowPageBreak"/>
      </w:pPr>
    </w:p>
    <w:p w:rsidR="00000000" w:rsidRPr="00710C1B" w:rsidP="00710C1B">
      <w:pPr>
        <w:pStyle w:val="Heading1"/>
      </w:pPr>
      <w:bookmarkStart w:id="7" w:name="O_1079007"/>
      <w:bookmarkEnd w:id="7"/>
      <w:r w:rsidRPr="00710C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C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t>Foundation skills essenti</w:t>
            </w:r>
            <w:r w:rsidRPr="00710C1B">
              <w:t>al to performance are explicit in the performance criteria of this unit of competency.</w:t>
            </w:r>
          </w:p>
        </w:tc>
      </w:tr>
    </w:tbl>
    <w:p w:rsidR="00000000" w:rsidRPr="00710C1B" w:rsidP="00710C1B">
      <w:pPr>
        <w:pStyle w:val="NoPaddingFontSize1"/>
      </w:pPr>
    </w:p>
    <w:p w:rsidR="00000000" w:rsidRPr="00710C1B" w:rsidP="00710C1B">
      <w:pPr>
        <w:pStyle w:val="AllowPageBreak"/>
      </w:pPr>
    </w:p>
    <w:p w:rsidR="00000000" w:rsidRPr="00710C1B" w:rsidP="00710C1B">
      <w:pPr>
        <w:pStyle w:val="Heading1"/>
      </w:pPr>
      <w:bookmarkStart w:id="8" w:name="O_1079008"/>
      <w:bookmarkEnd w:id="8"/>
      <w:r w:rsidRPr="00710C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10C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t>Range is restricted to essential operating conditions and any other variables essential to the work environment.</w:t>
            </w:r>
          </w:p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Non-essential conditions may be found in the UEE Electrotechnology Training Package Companion Volume Implementation Guide.</w:t>
            </w:r>
          </w:p>
        </w:tc>
      </w:tr>
      <w:tr w:rsidTr="00710C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C1B">
            <w:pPr>
              <w:pStyle w:val="BodyText"/>
              <w:rPr>
                <w:lang w:val="en-NZ"/>
              </w:rPr>
            </w:pPr>
            <w:r w:rsidRPr="00710C1B">
              <w:t>Operating ammonia refrigeration system conditions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ListBullet"/>
            </w:pPr>
            <w:r w:rsidRPr="00710C1B">
              <w:t>starting up</w:t>
            </w:r>
          </w:p>
          <w:p w:rsidR="00000000" w:rsidRPr="00710C1B" w:rsidP="00710C1B">
            <w:pPr>
              <w:pStyle w:val="ListBullet"/>
            </w:pPr>
            <w:r w:rsidRPr="00710C1B">
              <w:t>determining operating condition</w:t>
            </w:r>
            <w:r w:rsidRPr="00710C1B">
              <w:t>s using measurement and calculation methods</w:t>
            </w:r>
          </w:p>
          <w:p w:rsidR="00000000" w:rsidRPr="00710C1B" w:rsidP="00710C1B">
            <w:pPr>
              <w:pStyle w:val="ListBullet"/>
            </w:pPr>
            <w:r w:rsidRPr="00710C1B">
              <w:t>repairing components</w:t>
            </w:r>
          </w:p>
          <w:p w:rsidR="00000000" w:rsidRPr="00710C1B" w:rsidP="00710C1B">
            <w:pPr>
              <w:pStyle w:val="ListBullet"/>
            </w:pPr>
            <w:r w:rsidRPr="00710C1B">
              <w:t>shutting down the system</w:t>
            </w:r>
          </w:p>
          <w:p w:rsidR="00000000" w:rsidRPr="00710C1B" w:rsidP="00710C1B">
            <w:pPr>
              <w:pStyle w:val="ListBullet"/>
            </w:pPr>
            <w:r w:rsidRPr="00710C1B">
              <w:t>checking:</w:t>
            </w:r>
          </w:p>
          <w:p w:rsidR="00000000" w:rsidRPr="00710C1B" w:rsidP="00710C1B">
            <w:pPr>
              <w:pStyle w:val="ListBullet2"/>
            </w:pPr>
            <w:r w:rsidRPr="00710C1B">
              <w:t>suction</w:t>
            </w:r>
          </w:p>
          <w:p w:rsidR="00000000" w:rsidRPr="00710C1B" w:rsidP="00710C1B">
            <w:pPr>
              <w:pStyle w:val="ListBullet2"/>
            </w:pPr>
            <w:r w:rsidRPr="00710C1B">
              <w:t>inter-stage and discharge pressures</w:t>
            </w:r>
          </w:p>
          <w:p w:rsidR="00000000" w:rsidRPr="00710C1B" w:rsidP="00710C1B">
            <w:pPr>
              <w:pStyle w:val="ListBullet2"/>
            </w:pPr>
            <w:r w:rsidRPr="00710C1B">
              <w:t>ambient, evaporator, inter-stage and condensing temperatures</w:t>
            </w:r>
          </w:p>
          <w:p w:rsidR="00000000" w:rsidRPr="00710C1B" w:rsidP="00710C1B">
            <w:pPr>
              <w:pStyle w:val="ListBullet2"/>
            </w:pPr>
            <w:r w:rsidRPr="00710C1B">
              <w:t>evaporator and condenser temperature differences</w:t>
            </w:r>
          </w:p>
        </w:tc>
      </w:tr>
    </w:tbl>
    <w:p w:rsidR="00000000" w:rsidRPr="00710C1B" w:rsidP="00710C1B">
      <w:pPr>
        <w:pStyle w:val="NoPaddingFontSize1"/>
      </w:pPr>
    </w:p>
    <w:p w:rsidR="00000000" w:rsidRPr="00710C1B" w:rsidP="00710C1B">
      <w:pPr>
        <w:pStyle w:val="AllowPageBreak"/>
      </w:pPr>
    </w:p>
    <w:p w:rsidR="00000000" w:rsidRPr="00710C1B" w:rsidP="00710C1B">
      <w:pPr>
        <w:pStyle w:val="Heading1"/>
      </w:pPr>
      <w:bookmarkStart w:id="9" w:name="O_1079009"/>
      <w:bookmarkEnd w:id="9"/>
      <w:r w:rsidRPr="00710C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0C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C1B" w:rsidP="00710C1B">
            <w:pPr>
              <w:pStyle w:val="BodyText"/>
            </w:pPr>
            <w:r w:rsidRPr="00710C1B">
              <w:t>This unit replaces and is equivalent to UEENEEJ196A Operate Ammonia Refrigeration Plant.</w:t>
            </w:r>
          </w:p>
        </w:tc>
      </w:tr>
    </w:tbl>
    <w:p w:rsidR="00000000" w:rsidRPr="00710C1B" w:rsidP="00710C1B">
      <w:pPr>
        <w:pStyle w:val="NoPaddingFontSize1"/>
      </w:pPr>
    </w:p>
    <w:p w:rsidR="00000000" w:rsidRPr="00710C1B" w:rsidP="00710C1B">
      <w:pPr>
        <w:pStyle w:val="AllowPageBreak"/>
      </w:pPr>
    </w:p>
    <w:p w:rsidR="00000000" w:rsidRPr="00710C1B" w:rsidP="00710C1B">
      <w:pPr>
        <w:pStyle w:val="Heading1"/>
      </w:pPr>
      <w:bookmarkStart w:id="10" w:name="O_1079021"/>
      <w:bookmarkEnd w:id="10"/>
      <w:r w:rsidRPr="00710C1B">
        <w:t>Links</w:t>
      </w:r>
    </w:p>
    <w:p w:rsidR="00000000" w:rsidRPr="00710C1B" w:rsidP="008E7D11">
      <w:pPr>
        <w:pStyle w:val="BodyText"/>
      </w:pPr>
      <w:r w:rsidRPr="00710C1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052A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10C1B" w:rsidP="00710C1B"/>
    <w:sectPr w:rsidSect="00710C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1B" w:rsidRPr="008E7D11" w:rsidP="008E7D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11" w:rsidP="00710C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D11" w:rsidP="00710C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E7D11" w:rsidP="00710C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C1B" w:rsidRPr="008E7D11" w:rsidP="008E7D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11" w:rsidRPr="002D2AF8" w:rsidP="00710C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UEERA0057 Operate ammonia refrigeration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E7D11" w:rsidP="00710C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8850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5AB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D0B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C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C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C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C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C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C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C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C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C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C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C1B"/>
  </w:style>
  <w:style w:type="character" w:customStyle="1" w:styleId="Heading1Char">
    <w:name w:val="Heading 1 Char"/>
    <w:basedOn w:val="DefaultParagraphFont"/>
    <w:link w:val="Heading1"/>
    <w:rsid w:val="00710C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C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C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C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C1B"/>
    <w:rPr>
      <w:b/>
      <w:spacing w:val="0"/>
    </w:rPr>
  </w:style>
  <w:style w:type="paragraph" w:styleId="ListBullet2">
    <w:name w:val="List Bullet 2"/>
    <w:basedOn w:val="List2"/>
    <w:rsid w:val="00710C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0C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C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0C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C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C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C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C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C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C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C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C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C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C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C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C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C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C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C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C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C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C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C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C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C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C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C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C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C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C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C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C1B"/>
    <w:rPr>
      <w:i/>
    </w:rPr>
  </w:style>
  <w:style w:type="paragraph" w:styleId="Caption">
    <w:name w:val="caption"/>
    <w:basedOn w:val="BodyText"/>
    <w:next w:val="Normal"/>
    <w:qFormat/>
    <w:rsid w:val="00710C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C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C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C1B"/>
  </w:style>
  <w:style w:type="paragraph" w:styleId="TableofFigures">
    <w:name w:val="table of figures"/>
    <w:basedOn w:val="Normal"/>
    <w:next w:val="Normal"/>
    <w:semiHidden/>
    <w:rsid w:val="00710C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C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C1B"/>
    <w:rPr>
      <w:rFonts w:ascii="Wingdings" w:hAnsi="Wingdings"/>
    </w:rPr>
  </w:style>
  <w:style w:type="paragraph" w:customStyle="1" w:styleId="TableHeading">
    <w:name w:val="Table Heading"/>
    <w:basedOn w:val="HeadingBase"/>
    <w:rsid w:val="00710C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C1B"/>
    <w:rPr>
      <w:color w:val="0033CC"/>
      <w:u w:val="none"/>
    </w:rPr>
  </w:style>
  <w:style w:type="paragraph" w:customStyle="1" w:styleId="BodyTextRight">
    <w:name w:val="Body Text Right"/>
    <w:basedOn w:val="BodyText"/>
    <w:rsid w:val="00710C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C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C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C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C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C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C1B"/>
    <w:rPr>
      <w:sz w:val="32"/>
    </w:rPr>
  </w:style>
  <w:style w:type="paragraph" w:customStyle="1" w:styleId="HeadingProcedure">
    <w:name w:val="Heading Procedure"/>
    <w:basedOn w:val="HeadingBase"/>
    <w:next w:val="Normal"/>
    <w:rsid w:val="00710C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C1B"/>
    <w:pPr>
      <w:spacing w:before="60" w:after="60"/>
    </w:pPr>
  </w:style>
  <w:style w:type="paragraph" w:styleId="ListContinue">
    <w:name w:val="List Continue"/>
    <w:basedOn w:val="List"/>
    <w:rsid w:val="00710C1B"/>
    <w:pPr>
      <w:ind w:firstLine="0"/>
    </w:pPr>
  </w:style>
  <w:style w:type="paragraph" w:customStyle="1" w:styleId="ListNote">
    <w:name w:val="List Note"/>
    <w:basedOn w:val="List"/>
    <w:rsid w:val="00710C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C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C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C1B"/>
    <w:rPr>
      <w:rFonts w:ascii="Courier New" w:hAnsi="Courier New"/>
    </w:rPr>
  </w:style>
  <w:style w:type="paragraph" w:customStyle="1" w:styleId="NoteBullet">
    <w:name w:val="Note Bullet"/>
    <w:basedOn w:val="Note"/>
    <w:rsid w:val="00710C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C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C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C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C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C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C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C1B"/>
    <w:rPr>
      <w:b/>
      <w:smallCaps/>
    </w:rPr>
  </w:style>
  <w:style w:type="paragraph" w:customStyle="1" w:styleId="TableListNumber">
    <w:name w:val="Table List Number"/>
    <w:basedOn w:val="ListNumber"/>
    <w:rsid w:val="00710C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C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C1B"/>
    <w:pPr>
      <w:numPr>
        <w:numId w:val="9"/>
      </w:numPr>
    </w:pPr>
  </w:style>
  <w:style w:type="paragraph" w:customStyle="1" w:styleId="ListAlpha2">
    <w:name w:val="List Alpha 2"/>
    <w:basedOn w:val="List2"/>
    <w:rsid w:val="00710C1B"/>
    <w:pPr>
      <w:numPr>
        <w:numId w:val="8"/>
      </w:numPr>
    </w:pPr>
  </w:style>
  <w:style w:type="paragraph" w:styleId="List2">
    <w:name w:val="List 2"/>
    <w:basedOn w:val="BodyText"/>
    <w:rsid w:val="00710C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C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C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C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C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C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C1B"/>
    <w:pPr>
      <w:numPr>
        <w:numId w:val="4"/>
      </w:numPr>
    </w:pPr>
  </w:style>
  <w:style w:type="paragraph" w:styleId="ListContinue2">
    <w:name w:val="List Continue 2"/>
    <w:basedOn w:val="List2"/>
    <w:rsid w:val="00710C1B"/>
    <w:pPr>
      <w:ind w:firstLine="0"/>
    </w:pPr>
  </w:style>
  <w:style w:type="paragraph" w:styleId="ListContinue3">
    <w:name w:val="List Continue 3"/>
    <w:basedOn w:val="List3"/>
    <w:rsid w:val="00710C1B"/>
    <w:pPr>
      <w:ind w:left="1021" w:firstLine="0"/>
    </w:pPr>
  </w:style>
  <w:style w:type="paragraph" w:styleId="ListContinue4">
    <w:name w:val="List Continue 4"/>
    <w:basedOn w:val="List4"/>
    <w:rsid w:val="00710C1B"/>
    <w:pPr>
      <w:ind w:firstLine="0"/>
    </w:pPr>
  </w:style>
  <w:style w:type="paragraph" w:styleId="ListContinue5">
    <w:name w:val="List Continue 5"/>
    <w:basedOn w:val="List5"/>
    <w:rsid w:val="00710C1B"/>
    <w:pPr>
      <w:ind w:firstLine="0"/>
    </w:pPr>
  </w:style>
  <w:style w:type="paragraph" w:styleId="ListNumber3">
    <w:name w:val="List Number 3"/>
    <w:basedOn w:val="List3"/>
    <w:rsid w:val="00710C1B"/>
    <w:pPr>
      <w:numPr>
        <w:numId w:val="5"/>
      </w:numPr>
    </w:pPr>
  </w:style>
  <w:style w:type="paragraph" w:styleId="ListNumber4">
    <w:name w:val="List Number 4"/>
    <w:basedOn w:val="List4"/>
    <w:rsid w:val="00710C1B"/>
    <w:pPr>
      <w:numPr>
        <w:numId w:val="6"/>
      </w:numPr>
    </w:pPr>
  </w:style>
  <w:style w:type="paragraph" w:styleId="ListNumber5">
    <w:name w:val="List Number 5"/>
    <w:basedOn w:val="List5"/>
    <w:rsid w:val="00710C1B"/>
    <w:pPr>
      <w:numPr>
        <w:numId w:val="7"/>
      </w:numPr>
    </w:pPr>
  </w:style>
  <w:style w:type="paragraph" w:styleId="BlockText">
    <w:name w:val="Block Text"/>
    <w:basedOn w:val="Normal"/>
    <w:rsid w:val="00710C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C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C1B"/>
    <w:rPr>
      <w:sz w:val="16"/>
      <w:vertAlign w:val="superscript"/>
    </w:rPr>
  </w:style>
  <w:style w:type="character" w:customStyle="1" w:styleId="Symbols">
    <w:name w:val="Symbols"/>
    <w:basedOn w:val="DefaultParagraphFont"/>
    <w:rsid w:val="00710C1B"/>
    <w:rPr>
      <w:rFonts w:ascii="Symbol" w:hAnsi="Symbol"/>
    </w:rPr>
  </w:style>
  <w:style w:type="character" w:customStyle="1" w:styleId="MenuOptions">
    <w:name w:val="Menu Options"/>
    <w:basedOn w:val="DefaultParagraphFont"/>
    <w:rsid w:val="00710C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C1B"/>
    <w:rPr>
      <w:b/>
    </w:rPr>
  </w:style>
  <w:style w:type="character" w:customStyle="1" w:styleId="Underlined">
    <w:name w:val="Underlined"/>
    <w:basedOn w:val="DefaultParagraphFont"/>
    <w:rsid w:val="00710C1B"/>
    <w:rPr>
      <w:u w:val="single"/>
    </w:rPr>
  </w:style>
  <w:style w:type="paragraph" w:customStyle="1" w:styleId="TableBodyTextRight">
    <w:name w:val="Table Body Text Right"/>
    <w:basedOn w:val="TableBodyText"/>
    <w:rsid w:val="00710C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C1B"/>
    <w:rPr>
      <w:sz w:val="18"/>
    </w:rPr>
  </w:style>
  <w:style w:type="paragraph" w:customStyle="1" w:styleId="BodySmallRight">
    <w:name w:val="Body Small Right"/>
    <w:basedOn w:val="BodyTextRight"/>
    <w:rsid w:val="00710C1B"/>
    <w:rPr>
      <w:sz w:val="18"/>
      <w:szCs w:val="18"/>
    </w:rPr>
  </w:style>
  <w:style w:type="paragraph" w:customStyle="1" w:styleId="MarginEdition">
    <w:name w:val="Margin Edition"/>
    <w:basedOn w:val="MarginNote"/>
    <w:rsid w:val="00710C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C1B"/>
    <w:rPr>
      <w:sz w:val="2"/>
      <w:szCs w:val="2"/>
    </w:rPr>
  </w:style>
  <w:style w:type="character" w:customStyle="1" w:styleId="Small">
    <w:name w:val="Small"/>
    <w:basedOn w:val="DefaultParagraphFont"/>
    <w:rsid w:val="00710C1B"/>
    <w:rPr>
      <w:sz w:val="16"/>
    </w:rPr>
  </w:style>
  <w:style w:type="paragraph" w:customStyle="1" w:styleId="WideTable">
    <w:name w:val="Wide Table"/>
    <w:basedOn w:val="Normal"/>
    <w:rsid w:val="00710C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C1B"/>
  </w:style>
  <w:style w:type="paragraph" w:styleId="Quote">
    <w:name w:val="Quote"/>
    <w:basedOn w:val="Heading1"/>
    <w:link w:val="QuoteChar"/>
    <w:qFormat/>
    <w:rsid w:val="00710C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C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C1B"/>
    <w:pPr>
      <w:pageBreakBefore/>
    </w:pPr>
  </w:style>
  <w:style w:type="paragraph" w:customStyle="1" w:styleId="Border">
    <w:name w:val="Border"/>
    <w:basedOn w:val="Normal"/>
    <w:qFormat/>
    <w:rsid w:val="00710C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C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C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C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C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C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C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C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C1B"/>
    <w:rPr>
      <w:u w:val="single"/>
    </w:rPr>
  </w:style>
  <w:style w:type="character" w:customStyle="1" w:styleId="BoldandItalics">
    <w:name w:val="Bold and Italics"/>
    <w:qFormat/>
    <w:rsid w:val="00710C1B"/>
    <w:rPr>
      <w:b/>
      <w:i/>
      <w:u w:val="none"/>
    </w:rPr>
  </w:style>
  <w:style w:type="paragraph" w:styleId="BalloonText">
    <w:name w:val="Balloon Text"/>
    <w:basedOn w:val="Normal"/>
    <w:link w:val="BalloonTextChar"/>
    <w:rsid w:val="00710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C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C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C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C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C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C1B"/>
    <w:pPr>
      <w:spacing w:before="0" w:after="0"/>
    </w:pPr>
  </w:style>
  <w:style w:type="paragraph" w:customStyle="1" w:styleId="BodyTextBold">
    <w:name w:val="Body Text Bold"/>
    <w:basedOn w:val="BodyText"/>
    <w:qFormat/>
    <w:rsid w:val="00710C1B"/>
    <w:rPr>
      <w:b/>
    </w:rPr>
  </w:style>
  <w:style w:type="character" w:styleId="Hyperlink">
    <w:name w:val="Hyperlink"/>
    <w:basedOn w:val="DefaultParagraphFont"/>
    <w:uiPriority w:val="99"/>
    <w:unhideWhenUsed/>
    <w:rsid w:val="008E7D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5485</Characters>
  <Application>Microsoft Office Word</Application>
  <DocSecurity>0</DocSecurity>
  <Lines>228</Lines>
  <Paragraphs>111</Paragraphs>
  <ScaleCrop>false</ScaleCrop>
  <Company>Author-it Software Corporation Ltd.</Company>
  <LinksUpToDate>false</LinksUpToDate>
  <CharactersWithSpaces>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UEERA0057 Operate ammonia refrigeration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