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729" w:rsidP="00FA2729">
      <w:pPr>
        <w:pStyle w:val="Title"/>
      </w:pPr>
      <w:r>
        <w:fldChar w:fldCharType="begin"/>
      </w:r>
      <w:r>
        <w:instrText xml:space="preserve"> TITLE   \* MERGEFORMAT </w:instrText>
      </w:r>
      <w:r>
        <w:fldChar w:fldCharType="separate"/>
      </w:r>
      <w:r>
        <w:t>UEERA0057 Operate ammonia refrigeration plant</w:t>
      </w:r>
      <w:r>
        <w:fldChar w:fldCharType="end"/>
      </w:r>
    </w:p>
    <w:p w:rsidR="00FA2729" w:rsidP="00FA2729">
      <w:pPr>
        <w:pStyle w:val="Version"/>
        <w:sectPr w:rsidSect="003C21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10D" w:rsidP="003C210D">
      <w:pPr>
        <w:pStyle w:val="SuperHeading"/>
      </w:pPr>
      <w:r w:rsidRPr="003C210D">
        <w:t>UEERA0057 Operate ammonia refrigeration plant</w:t>
      </w:r>
    </w:p>
    <w:p w:rsidR="00000000" w:rsidRPr="003C210D" w:rsidP="003C210D">
      <w:pPr>
        <w:pStyle w:val="Heading1"/>
      </w:pPr>
      <w:bookmarkStart w:id="1" w:name="O_1079001"/>
      <w:bookmarkEnd w:id="1"/>
      <w:r w:rsidRPr="003C210D">
        <w:t>Modification History</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Release 1. This is the first release of this unit of competency in the UEE Electrotechnology Training Package.</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2" w:name="O_1079002"/>
      <w:bookmarkEnd w:id="2"/>
      <w:r w:rsidRPr="003C210D">
        <w:t>Application</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This unit involves the skills and knowledge required to operate ammonia (R717) ref</w:t>
            </w:r>
            <w:r w:rsidRPr="003C210D">
              <w:t>rigerant refrigeration plants.</w:t>
            </w:r>
          </w:p>
          <w:p w:rsidR="00000000" w:rsidRPr="003C210D" w:rsidP="003C210D">
            <w:pPr>
              <w:pStyle w:val="BodyText"/>
            </w:pPr>
            <w:r w:rsidRPr="003C210D">
              <w:t>It includes operating an industrial refrigeration plant using ammonia as the refrigerant. It also includes applying specialised refrigeration principles that apply to ammonia, specifying the normal operating parameters for th</w:t>
            </w:r>
            <w:r w:rsidRPr="003C210D">
              <w:t>e plant, rectifying faults and defective components within organisational guidelines, and completing the necessary service documentation.</w:t>
            </w:r>
          </w:p>
          <w:p w:rsidR="00000000" w:rsidRPr="003C210D" w:rsidP="003C210D">
            <w:pPr>
              <w:pStyle w:val="BodyText"/>
            </w:pPr>
            <w:r w:rsidRPr="003C210D">
              <w:t>The skills and knowledge in this unit will be applied by ammonia refrigeration plant operators during the start-up, op</w:t>
            </w:r>
            <w:r w:rsidRPr="003C210D">
              <w:t>eration and shutdown of ammonia refrigeration plants.</w:t>
            </w:r>
          </w:p>
          <w:p w:rsidR="00000000" w:rsidRPr="003C210D" w:rsidP="003C210D">
            <w:pPr>
              <w:pStyle w:val="BodyText"/>
            </w:pPr>
            <w:r w:rsidRPr="003C210D">
              <w:t>The skills and knowledge described in this unit require a licence or permit to practice in the workplace where work is carried out on electrical installations which are designed to operate at voltages g</w:t>
            </w:r>
            <w:r w:rsidRPr="003C210D">
              <w:t>reater than 50 volt (V) alternating current (a.c.) or 120 V direct current (d.c).</w:t>
            </w:r>
          </w:p>
          <w:p w:rsidR="00000000" w:rsidRPr="003C210D" w:rsidP="003C210D">
            <w:pPr>
              <w:pStyle w:val="BodyText"/>
            </w:pPr>
            <w:r w:rsidRPr="003C210D">
              <w:t>Competency development activities in this unit are subject to regulations directly related to licensing. Where a licence or permit to practice is not held, skills and knowled</w:t>
            </w:r>
            <w:r w:rsidRPr="003C210D">
              <w:t xml:space="preserve">ge described in this unit require a relevant contract of training, such as an Australian Apprenticeship. </w:t>
            </w:r>
          </w:p>
          <w:p w:rsidR="00000000" w:rsidRPr="003C210D" w:rsidP="003C210D">
            <w:pPr>
              <w:pStyle w:val="BodyText"/>
            </w:pPr>
            <w:r w:rsidRPr="003C210D">
              <w:t>Additional and/or other conditions may apply in some jurisdictions subject to regulations related to refrigeration, air conditioning or electrical wor</w:t>
            </w:r>
            <w:r w:rsidRPr="003C210D">
              <w:t>k. Practice in the workplace and during training is also subject to work health and safety (WHS)/occupational health and safety (OHS) regulations</w:t>
            </w:r>
          </w:p>
          <w:p w:rsidR="00000000" w:rsidRPr="003C210D" w:rsidP="003C210D">
            <w:pPr>
              <w:pStyle w:val="BodyText"/>
            </w:pPr>
            <w:r w:rsidRPr="003C210D">
              <w:t>Permits may also be required for some work environments, such as confined spaces, working aloft, near live ele</w:t>
            </w:r>
            <w:r w:rsidRPr="003C210D">
              <w:t>ctrical apparatus and site rehabilitation.</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3" w:name="O_1079003"/>
      <w:bookmarkEnd w:id="3"/>
      <w:r w:rsidRPr="003C210D">
        <w:t>Pre-requisite Unit</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UEERA0005 Apply safety awareness and legal requirements for ammonia refrigerant</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4" w:name="O_1079004"/>
      <w:bookmarkEnd w:id="4"/>
      <w:r w:rsidRPr="003C210D">
        <w:t>Competency Field</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Refrigeration and air-conditioning</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5" w:name="O_1079005"/>
      <w:bookmarkEnd w:id="5"/>
      <w:r w:rsidRPr="003C210D">
        <w:t>Unit Sector</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Electrotechnology</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6" w:name="O_1079006"/>
      <w:bookmarkEnd w:id="6"/>
      <w:r w:rsidRPr="003C21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C21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PERFORMANCE CRITERIA</w:t>
            </w:r>
          </w:p>
        </w:tc>
      </w:tr>
      <w:tr w:rsidTr="003C21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Performance criteria describe the performance needed to demonstrate achievement of the element.</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Prepare to operate ammonia refrigerant plant</w:t>
            </w: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WHS/OHS hazards, risk control methods, relevant standards, codes and legislation are obtained and applied</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Ammonia refrigerant, refrigeration system and components on which the work is to be carried out are identified</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WHS/OHS risk control measures, safety data sheets (SDS)/material safety data sheets (MSDS) and workplace procedures are followed in preparation for refrigeration work</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Safety hazards not previously identified are reported and advice on risk control m</w:t>
            </w:r>
            <w:r w:rsidRPr="003C210D">
              <w:t>easures is sought from work supervisor</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Nature of work is obtained from documentation or work supervisor to determine the scope of work to be undertaken</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Advice is sought from work supervisor to ensure the work is coordinated effectively with o</w:t>
            </w:r>
            <w:r w:rsidRPr="003C210D">
              <w:t xml:space="preserve">thers </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Sources of materials required for refrigeration work are accessed in accordance with workplace procedures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Tools, equ</w:t>
            </w:r>
            <w:r w:rsidRPr="003C210D">
              <w:t>ipment and testing devices needed to carry out refrigeration work are obtained and checked for correct operation and safety</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Refrigeration system operating conditions are established from service documentation, supervisor and the application of refri</w:t>
            </w:r>
            <w:r w:rsidRPr="003C210D">
              <w:t>geration fundamentals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Operate ammonia refrigeration plant</w:t>
            </w: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 xml:space="preserve">Refrigeration plant is started up in accordance with workplace procedures, industry standards, codes of </w:t>
            </w:r>
            <w:r w:rsidRPr="003C210D">
              <w:t>practice and regulations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Measurement of refrigeration system operating parameter</w:t>
            </w:r>
            <w:r w:rsidRPr="003C210D">
              <w:t>s is conducted in accordance with WHS/OHS requirements and workplace safety procedures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Supervisor or person in charge is advised of system and components performing outside their operating parameters to facilitate remedial action</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Refrigeration plant remedial action is determined and implemented, as required, in accordance with workplace procedures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Refrigeration service procedures are completed in accordance with workplace procedures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Daily processing requirements are c</w:t>
            </w:r>
            <w:r w:rsidRPr="003C210D">
              <w:t>alculated to predict demand on refrigeration plant</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Oral and written information on the performance of the refrigeration plant is exchanged formally and informally between the operator and supervisor/production team</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Equipment controls are adjusted to prepare refrigeration plant to meet the load</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Action is taken in a proactive way to maintain the performance of the plant</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Demands on plant consumables are calculated to facilitate the ordering of replacement</w:t>
            </w:r>
            <w:r w:rsidRPr="003C210D">
              <w:t>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Strategies are developed to meet demand in the event of refrigeration plant equipment malfunction or breakdown</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rPr>
                <w:rStyle w:val="SpecialBold"/>
              </w:rPr>
              <w:t>Complete work and report on ammonia refrigeration plant operations</w:t>
            </w: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Worksite is cleaned and made safe in accordance with workplace procedures</w:t>
            </w:r>
          </w:p>
        </w:tc>
      </w:tr>
      <w:tr w:rsidTr="003C21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C21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Refrigeration plant performance records are maintained and distributed in accordance with workplace procedures</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7" w:name="O_1079007"/>
      <w:bookmarkEnd w:id="7"/>
      <w:r w:rsidRPr="003C210D">
        <w:t>Foundation Skills</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Foundation skills essenti</w:t>
            </w:r>
            <w:r w:rsidRPr="003C210D">
              <w:t>al to performance are explicit in the performance criteria of this unit of competency.</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8" w:name="O_1079008"/>
      <w:bookmarkEnd w:id="8"/>
      <w:r w:rsidRPr="003C210D">
        <w:t>Range of Conditions</w:t>
      </w:r>
    </w:p>
    <w:tbl>
      <w:tblPr>
        <w:tblW w:w="9497" w:type="dxa"/>
        <w:tblLayout w:type="fixed"/>
        <w:tblCellMar>
          <w:left w:w="62" w:type="dxa"/>
          <w:right w:w="62" w:type="dxa"/>
        </w:tblCellMar>
        <w:tblLook w:val="0000"/>
      </w:tblPr>
      <w:tblGrid>
        <w:gridCol w:w="4693"/>
        <w:gridCol w:w="4804"/>
      </w:tblGrid>
      <w:tr w:rsidTr="003C210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Range is restricted to essential operating conditions and any other variables essential to the work environment.</w:t>
            </w:r>
          </w:p>
          <w:p w:rsidR="00000000" w:rsidP="003C210D">
            <w:pPr>
              <w:pStyle w:val="BodyText"/>
              <w:rPr>
                <w:lang w:val="en-NZ"/>
              </w:rPr>
            </w:pPr>
            <w:r w:rsidRPr="003C210D">
              <w:t>Non-essential conditions may be found in the UEE Electrotechnology Training Package Companion Volume Implementation Guide.</w:t>
            </w:r>
          </w:p>
        </w:tc>
      </w:tr>
      <w:tr w:rsidTr="003C21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Operating ammonia refrigeration system conditions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C210D" w:rsidP="003C210D">
            <w:pPr>
              <w:pStyle w:val="ListBullet"/>
            </w:pPr>
            <w:r w:rsidRPr="003C210D">
              <w:t>starting up</w:t>
            </w:r>
          </w:p>
          <w:p w:rsidR="00000000" w:rsidRPr="003C210D" w:rsidP="003C210D">
            <w:pPr>
              <w:pStyle w:val="ListBullet"/>
            </w:pPr>
            <w:r w:rsidRPr="003C210D">
              <w:t>determining operating conditions using measurement and calculation methods</w:t>
            </w:r>
          </w:p>
          <w:p w:rsidR="00000000" w:rsidRPr="003C210D" w:rsidP="003C210D">
            <w:pPr>
              <w:pStyle w:val="ListBullet"/>
            </w:pPr>
            <w:r w:rsidRPr="003C210D">
              <w:t>repairing components</w:t>
            </w:r>
          </w:p>
          <w:p w:rsidR="00000000" w:rsidRPr="003C210D" w:rsidP="003C210D">
            <w:pPr>
              <w:pStyle w:val="ListBullet"/>
            </w:pPr>
            <w:r w:rsidRPr="003C210D">
              <w:t>shutting down the system</w:t>
            </w:r>
          </w:p>
          <w:p w:rsidR="00000000" w:rsidRPr="003C210D" w:rsidP="003C210D">
            <w:pPr>
              <w:pStyle w:val="ListBullet"/>
            </w:pPr>
            <w:r w:rsidRPr="003C210D">
              <w:t>checking:</w:t>
            </w:r>
          </w:p>
          <w:p w:rsidR="00000000" w:rsidRPr="003C210D" w:rsidP="003C210D">
            <w:pPr>
              <w:pStyle w:val="ListBullet2"/>
            </w:pPr>
            <w:r w:rsidRPr="003C210D">
              <w:t>suction</w:t>
            </w:r>
          </w:p>
          <w:p w:rsidR="00000000" w:rsidRPr="003C210D" w:rsidP="003C210D">
            <w:pPr>
              <w:pStyle w:val="ListBullet2"/>
            </w:pPr>
            <w:r w:rsidRPr="003C210D">
              <w:t>inter-stage and discharge pressures</w:t>
            </w:r>
          </w:p>
          <w:p w:rsidR="00000000" w:rsidRPr="003C210D" w:rsidP="003C210D">
            <w:pPr>
              <w:pStyle w:val="ListBullet2"/>
            </w:pPr>
            <w:r w:rsidRPr="003C210D">
              <w:t>ambient, evaporator, inter-stage and condensing temperatures</w:t>
            </w:r>
          </w:p>
          <w:p w:rsidR="00000000" w:rsidRPr="003C210D" w:rsidP="003C210D">
            <w:pPr>
              <w:pStyle w:val="ListBullet2"/>
            </w:pPr>
            <w:r w:rsidRPr="003C210D">
              <w:t>evaporator and cond</w:t>
            </w:r>
            <w:r w:rsidRPr="003C210D">
              <w:t>enser temperature differences</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9" w:name="O_1079009"/>
      <w:bookmarkEnd w:id="9"/>
      <w:r w:rsidRPr="003C210D">
        <w:t>Unit Mapping Information</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This unit replaces and is equivalent to UEENEEJ196A Operate Ammonia Refrigeration Plant.</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10" w:name="O_1079021"/>
      <w:bookmarkEnd w:id="10"/>
      <w:r w:rsidRPr="003C210D">
        <w:t>Links</w:t>
      </w:r>
    </w:p>
    <w:p w:rsidR="00000000" w:rsidRPr="003C210D" w:rsidP="00FA2729">
      <w:pPr>
        <w:pStyle w:val="BodyText"/>
      </w:pPr>
      <w:r w:rsidRPr="003C21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3A52">
        <w:rPr>
          <w:rStyle w:val="Hyperlink"/>
        </w:rPr>
        <w:t>https://vetnet.gov.au/Pages/TrainingDocs.aspx?q=b8a8f136-5421-4ce1-92e0-2b50341431b6</w:t>
      </w:r>
      <w:r>
        <w:fldChar w:fldCharType="end"/>
      </w:r>
    </w:p>
    <w:p w:rsidR="00000000" w:rsidRPr="003C210D" w:rsidP="00FA2729">
      <w:pPr>
        <w:pStyle w:val="BodyText"/>
        <w:sectPr w:rsidSect="003C210D">
          <w:headerReference w:type="default" r:id="rId10"/>
          <w:footerReference w:type="default" r:id="rId11"/>
          <w:pgSz w:w="11908" w:h="16833"/>
          <w:pgMar w:top="1702" w:right="1418" w:bottom="1702" w:left="1418" w:header="992" w:footer="992" w:gutter="0"/>
          <w:cols w:space="720"/>
          <w:noEndnote/>
          <w:docGrid w:linePitch="299"/>
        </w:sectPr>
      </w:pPr>
    </w:p>
    <w:p w:rsidR="00000000" w:rsidRPr="003C210D" w:rsidP="003C210D">
      <w:pPr>
        <w:pStyle w:val="SuperHeading"/>
      </w:pPr>
      <w:r w:rsidRPr="003C210D">
        <w:t>Assessment Requirements for UEERA0057 Operate ammonia refrige</w:t>
      </w:r>
      <w:r w:rsidRPr="003C210D">
        <w:t>ration plant</w:t>
      </w:r>
    </w:p>
    <w:p w:rsidR="00000000" w:rsidRPr="003C210D" w:rsidP="003C210D">
      <w:pPr>
        <w:pStyle w:val="Heading1"/>
      </w:pPr>
      <w:bookmarkStart w:id="11" w:name="O_1079011"/>
      <w:bookmarkEnd w:id="11"/>
      <w:r w:rsidRPr="003C210D">
        <w:t>Modification History</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Release 1. This is the first release of this unit of competency in the UEE Electrotechnology Training Package.</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12" w:name="O_1079012"/>
      <w:bookmarkEnd w:id="12"/>
      <w:r w:rsidRPr="003C210D">
        <w:t>Performance Evidence</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 xml:space="preserve">Evidence required to demonstrate competence in this unit must be relevant to and satisfy all of the requirements of the elements, performance criteria and range of conditions on at least two separate occasions and include: </w:t>
            </w:r>
          </w:p>
        </w:tc>
      </w:tr>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ListBullet"/>
            </w:pPr>
            <w:r w:rsidRPr="003C210D">
              <w:t>applying relevant legislative,</w:t>
            </w:r>
            <w:r w:rsidRPr="003C210D">
              <w:t xml:space="preserve"> industry standards and practices</w:t>
            </w:r>
          </w:p>
          <w:p w:rsidR="00000000" w:rsidRPr="003C210D" w:rsidP="003C210D">
            <w:pPr>
              <w:pStyle w:val="ListBullet"/>
            </w:pPr>
            <w:r w:rsidRPr="003C210D">
              <w:t>applying relevant work health and safety (WHS)/occupational health and safety (WHS/OHS) requirements and workplace procedures and practices, including using risk control measures</w:t>
            </w:r>
          </w:p>
          <w:p w:rsidR="00000000" w:rsidRPr="003C210D" w:rsidP="003C210D">
            <w:pPr>
              <w:pStyle w:val="ListBullet"/>
            </w:pPr>
            <w:r w:rsidRPr="003C210D">
              <w:tab/>
              <w:t>applying sustainable energy principles and</w:t>
            </w:r>
            <w:r w:rsidRPr="003C210D">
              <w:t xml:space="preserve"> practices</w:t>
            </w:r>
          </w:p>
          <w:p w:rsidR="00000000" w:rsidRPr="003C210D" w:rsidP="003C210D">
            <w:pPr>
              <w:pStyle w:val="ListBullet"/>
            </w:pPr>
            <w:r w:rsidRPr="003C210D">
              <w:t>completing necessary service documentation</w:t>
            </w:r>
          </w:p>
          <w:p w:rsidR="00000000" w:rsidRPr="003C210D" w:rsidP="003C210D">
            <w:pPr>
              <w:pStyle w:val="ListBullet"/>
            </w:pPr>
            <w:r w:rsidRPr="003C210D">
              <w:t xml:space="preserve">conducting servicing procedures in accordance with the schedule </w:t>
            </w:r>
          </w:p>
          <w:p w:rsidR="00000000" w:rsidRPr="003C210D" w:rsidP="003C210D">
            <w:pPr>
              <w:pStyle w:val="ListBullet"/>
            </w:pPr>
            <w:r w:rsidRPr="003C210D">
              <w:t>dealing with unplanned events/situations in accordance with workplace procedures in a manner that minimises risk to personnel and equipme</w:t>
            </w:r>
            <w:r w:rsidRPr="003C210D">
              <w:t>nt</w:t>
            </w:r>
          </w:p>
          <w:p w:rsidR="00000000" w:rsidRPr="003C210D" w:rsidP="003C210D">
            <w:pPr>
              <w:pStyle w:val="ListBullet"/>
            </w:pPr>
            <w:r w:rsidRPr="003C210D">
              <w:t xml:space="preserve">determining plant operating condition, rectifying faults and defective components in accordance within workplace procedures and guidelines </w:t>
            </w:r>
          </w:p>
          <w:p w:rsidR="00000000" w:rsidRPr="003C210D" w:rsidP="003C210D">
            <w:pPr>
              <w:pStyle w:val="ListBullet"/>
            </w:pPr>
            <w:r w:rsidRPr="003C210D">
              <w:t>documenting operating conditions correctly</w:t>
            </w:r>
          </w:p>
          <w:p w:rsidR="00000000" w:rsidRPr="003C210D" w:rsidP="003C210D">
            <w:pPr>
              <w:pStyle w:val="ListBullet"/>
            </w:pPr>
            <w:r w:rsidRPr="003C210D">
              <w:t>identifying anhydrous ammonia (R717) refrigerant safety data sheets (SDS)/material safety data sheets (MSDS) and workplace emergency response procedures</w:t>
            </w:r>
          </w:p>
          <w:p w:rsidR="00000000" w:rsidRPr="003C210D" w:rsidP="003C210D">
            <w:pPr>
              <w:pStyle w:val="ListBullet"/>
            </w:pPr>
            <w:r w:rsidRPr="003C210D">
              <w:t>identifying the conditions of the refrigerant at various locations in the vapour compression and liquid</w:t>
            </w:r>
            <w:r w:rsidRPr="003C210D">
              <w:t xml:space="preserve"> recirculation system</w:t>
            </w:r>
          </w:p>
          <w:p w:rsidR="00000000" w:rsidRPr="003C210D" w:rsidP="003C210D">
            <w:pPr>
              <w:pStyle w:val="ListBullet"/>
            </w:pPr>
            <w:r w:rsidRPr="003C210D">
              <w:t>operating an industrial refrigeration plant using ammonia as the refrigerant</w:t>
            </w:r>
          </w:p>
          <w:p w:rsidR="00000000" w:rsidRPr="003C210D" w:rsidP="003C210D">
            <w:pPr>
              <w:pStyle w:val="ListBullet"/>
            </w:pPr>
            <w:r w:rsidRPr="003C210D">
              <w:t>recording measurements</w:t>
            </w:r>
          </w:p>
          <w:p w:rsidR="00000000" w:rsidRPr="003C210D" w:rsidP="003C210D">
            <w:pPr>
              <w:pStyle w:val="ListBullet"/>
            </w:pPr>
            <w:r w:rsidRPr="003C210D">
              <w:t>selecting and using appropriate measuring devices correctly</w:t>
            </w:r>
          </w:p>
          <w:p w:rsidR="00000000" w:rsidRPr="003C210D" w:rsidP="003C210D">
            <w:pPr>
              <w:pStyle w:val="ListBullet"/>
            </w:pPr>
            <w:r w:rsidRPr="003C210D">
              <w:t>shutting down ammonia refrigerant plant</w:t>
            </w:r>
          </w:p>
          <w:p w:rsidR="00000000" w:rsidRPr="003C210D" w:rsidP="003C210D">
            <w:pPr>
              <w:pStyle w:val="ListBullet"/>
            </w:pPr>
            <w:r w:rsidRPr="003C210D">
              <w:t>starting up ammonia refrigerant pl</w:t>
            </w:r>
            <w:r w:rsidRPr="003C210D">
              <w:t>ant</w:t>
            </w:r>
          </w:p>
          <w:p w:rsidR="00000000" w:rsidRPr="003C210D" w:rsidP="003C210D">
            <w:pPr>
              <w:pStyle w:val="ListBullet"/>
            </w:pPr>
            <w:r w:rsidRPr="003C210D">
              <w:t>taking remedial action within workplace emergency response procedures and job role</w:t>
            </w:r>
          </w:p>
          <w:p w:rsidR="00000000" w:rsidRPr="003C210D" w:rsidP="003C210D">
            <w:pPr>
              <w:pStyle w:val="ListBullet"/>
            </w:pPr>
            <w:r w:rsidRPr="003C210D">
              <w:t>using calculation methods accurately.</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13" w:name="O_1079013"/>
      <w:bookmarkEnd w:id="13"/>
      <w:r w:rsidRPr="003C210D">
        <w:t>Knowledge Evidence</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210D">
            <w:pPr>
              <w:pStyle w:val="BodyText"/>
              <w:rPr>
                <w:lang w:val="en-NZ"/>
              </w:rPr>
            </w:pPr>
            <w:r w:rsidRPr="003C210D">
              <w:t>Evidence required to demonstrate competence in this unit must be relevant t</w:t>
            </w:r>
            <w:r w:rsidRPr="003C210D">
              <w:t xml:space="preserve">o and satisfy all of the requirements of the elements, performance criteria and range of conditions and include knowledge of: </w:t>
            </w:r>
          </w:p>
        </w:tc>
      </w:tr>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ListBullet"/>
            </w:pPr>
            <w:r w:rsidRPr="003C210D">
              <w:t xml:space="preserve">adding refrigerant, draining/adding oil and purging non-condensables </w:t>
            </w:r>
          </w:p>
          <w:p w:rsidR="00000000" w:rsidRPr="003C210D" w:rsidP="003C210D">
            <w:pPr>
              <w:pStyle w:val="ListBullet"/>
            </w:pPr>
            <w:r w:rsidRPr="003C210D">
              <w:t>ammonia refrigeration system operation</w:t>
            </w:r>
          </w:p>
          <w:p w:rsidR="00000000" w:rsidRPr="003C210D" w:rsidP="003C210D">
            <w:pPr>
              <w:pStyle w:val="ListBullet"/>
            </w:pPr>
            <w:r w:rsidRPr="003C210D">
              <w:t>hazardous goods, segregation, storage and handling</w:t>
            </w:r>
          </w:p>
          <w:p w:rsidR="00000000" w:rsidRPr="003C210D" w:rsidP="003C210D">
            <w:pPr>
              <w:pStyle w:val="ListBullet"/>
            </w:pPr>
            <w:r w:rsidRPr="003C210D">
              <w:t>refrigeration plant start-up, shutdown and emergency procedures</w:t>
            </w:r>
          </w:p>
          <w:p w:rsidR="00000000" w:rsidRPr="003C210D" w:rsidP="003C210D">
            <w:pPr>
              <w:pStyle w:val="ListBullet"/>
            </w:pPr>
            <w:r w:rsidRPr="003C210D">
              <w:t>refrigeration systems, including:</w:t>
            </w:r>
          </w:p>
          <w:p w:rsidR="00000000" w:rsidRPr="003C210D" w:rsidP="003C210D">
            <w:pPr>
              <w:pStyle w:val="ListBullet2"/>
            </w:pPr>
            <w:r w:rsidRPr="003C210D">
              <w:t>ammonia refrigeration system types, operating principles, major components, flow controls and ancillary co</w:t>
            </w:r>
            <w:r w:rsidRPr="003C210D">
              <w:t xml:space="preserve">mponents </w:t>
            </w:r>
          </w:p>
          <w:p w:rsidR="00000000" w:rsidRPr="003C210D" w:rsidP="003C210D">
            <w:pPr>
              <w:pStyle w:val="ListBullet2"/>
            </w:pPr>
            <w:r w:rsidRPr="003C210D">
              <w:t>operating conditions of ammonia refrigeration systems</w:t>
            </w:r>
          </w:p>
          <w:p w:rsidR="00000000" w:rsidRPr="003C210D" w:rsidP="003C210D">
            <w:pPr>
              <w:pStyle w:val="ListBullet"/>
            </w:pPr>
            <w:r w:rsidRPr="003C210D">
              <w:t>refrigeration vapour compression system principles, including:</w:t>
            </w:r>
          </w:p>
          <w:p w:rsidR="00000000" w:rsidRPr="003C210D" w:rsidP="003C210D">
            <w:pPr>
              <w:pStyle w:val="ListBullet2"/>
            </w:pPr>
            <w:r w:rsidRPr="003C210D">
              <w:t>heat, heat energy (definition and unit of measurement), enthalpy (definition and unit of measurement) and heat transfer</w:t>
            </w:r>
          </w:p>
          <w:p w:rsidR="00000000" w:rsidRPr="003C210D" w:rsidP="003C210D">
            <w:pPr>
              <w:pStyle w:val="ListBullet2"/>
            </w:pPr>
            <w:r w:rsidRPr="003C210D">
              <w:t>pressure, scale types (imperial, metric and absolute) and their units of measurement, vacuum scales (Pascals and microns), and conversion to/from absolute values and gas laws (Boyles, Charles and Daltons)</w:t>
            </w:r>
          </w:p>
          <w:p w:rsidR="00000000" w:rsidRPr="003C210D" w:rsidP="003C210D">
            <w:pPr>
              <w:pStyle w:val="ListBullet2"/>
            </w:pPr>
            <w:r w:rsidRPr="003C210D">
              <w:t>refrigerant conditions, saturation temperature, sat</w:t>
            </w:r>
            <w:r w:rsidRPr="003C210D">
              <w:t>urated liquid saturated vapour, superheated vapour, sub-cooled liquid and pressure temperature relationships</w:t>
            </w:r>
          </w:p>
          <w:p w:rsidR="00000000" w:rsidRPr="003C210D" w:rsidP="003C210D">
            <w:pPr>
              <w:pStyle w:val="ListBullet2"/>
            </w:pPr>
            <w:r w:rsidRPr="003C210D">
              <w:t>sensible and latent heat, definition of latent heat and sensible heat (including units of measurement) and measurement devices</w:t>
            </w:r>
          </w:p>
          <w:p w:rsidR="00000000" w:rsidRPr="003C210D" w:rsidP="003C210D">
            <w:pPr>
              <w:pStyle w:val="ListBullet2"/>
            </w:pPr>
            <w:r w:rsidRPr="003C210D">
              <w:t>temperature and rela</w:t>
            </w:r>
            <w:r w:rsidRPr="003C210D">
              <w:t>tive humidity, scale types (imperial, metric and absolute) and units of measurement and measurement devices</w:t>
            </w:r>
          </w:p>
          <w:p w:rsidR="00000000" w:rsidRPr="003C210D" w:rsidP="003C210D">
            <w:pPr>
              <w:pStyle w:val="ListBullet2"/>
            </w:pPr>
            <w:r w:rsidRPr="003C210D">
              <w:t>vapour compression cycle, primary system components, and high and low pressure sides</w:t>
            </w:r>
          </w:p>
          <w:p w:rsidR="00000000" w:rsidRPr="003C210D" w:rsidP="003C210D">
            <w:pPr>
              <w:pStyle w:val="ListBullet"/>
            </w:pPr>
            <w:r w:rsidRPr="003C210D">
              <w:t xml:space="preserve">relevant job safety assessments or risk mitigation processes, </w:t>
            </w:r>
            <w:r w:rsidRPr="003C210D">
              <w:t>including ammonia (R717) refrigerant SDS/MSDS</w:t>
            </w:r>
          </w:p>
          <w:p w:rsidR="00000000" w:rsidRPr="003C210D" w:rsidP="003C210D">
            <w:pPr>
              <w:pStyle w:val="ListBullet"/>
            </w:pPr>
            <w:r w:rsidRPr="003C210D">
              <w:t>relevant manufacturer specifications</w:t>
            </w:r>
          </w:p>
          <w:p w:rsidR="00000000" w:rsidRPr="003C210D" w:rsidP="003C210D">
            <w:pPr>
              <w:pStyle w:val="ListBullet"/>
            </w:pPr>
            <w:r w:rsidRPr="003C210D">
              <w:t>relevant WHS/OHS legislated requirements</w:t>
            </w:r>
          </w:p>
          <w:p w:rsidR="00000000" w:rsidRPr="003C210D" w:rsidP="003C210D">
            <w:pPr>
              <w:pStyle w:val="ListBullet"/>
            </w:pPr>
            <w:r w:rsidRPr="003C210D">
              <w:t>relevant workplace documentation</w:t>
            </w:r>
          </w:p>
          <w:p w:rsidR="00000000" w:rsidRPr="003C210D" w:rsidP="003C210D">
            <w:pPr>
              <w:pStyle w:val="ListBullet"/>
            </w:pPr>
            <w:r w:rsidRPr="003C210D">
              <w:t>relevant workplace policies and procedures, including workplace emergency response plan</w:t>
            </w:r>
          </w:p>
          <w:p w:rsidR="00000000" w:rsidRPr="003C210D" w:rsidP="003C210D">
            <w:pPr>
              <w:pStyle w:val="ListBullet"/>
            </w:pPr>
            <w:r w:rsidRPr="003C210D">
              <w:t>vapour compression system, including operation and major components.</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14" w:name="O_1079014"/>
      <w:bookmarkEnd w:id="14"/>
      <w:r w:rsidRPr="003C210D">
        <w:t>Assessment Conditions</w:t>
      </w:r>
    </w:p>
    <w:tbl>
      <w:tblPr>
        <w:tblW w:w="9497" w:type="dxa"/>
        <w:tblLayout w:type="fixed"/>
        <w:tblCellMar>
          <w:left w:w="62" w:type="dxa"/>
          <w:right w:w="62" w:type="dxa"/>
        </w:tblCellMar>
        <w:tblLook w:val="0000"/>
      </w:tblPr>
      <w:tblGrid>
        <w:gridCol w:w="9497"/>
      </w:tblGrid>
      <w:tr w:rsidTr="003C21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210D" w:rsidP="003C210D">
            <w:pPr>
              <w:pStyle w:val="BodyText"/>
            </w:pPr>
            <w:r w:rsidRPr="003C210D">
              <w:t xml:space="preserve">Assessors must hold credentials specified within the Standards for Registered Training Organisations current at the time of assessment. </w:t>
            </w:r>
          </w:p>
          <w:p w:rsidR="00000000" w:rsidRPr="003C210D" w:rsidP="003C210D">
            <w:pPr>
              <w:pStyle w:val="BodyText"/>
            </w:pPr>
            <w:r w:rsidRPr="003C210D">
              <w:t>Assessm</w:t>
            </w:r>
            <w:r w:rsidRPr="003C210D">
              <w:t xml:space="preserve">ent must satisfy the Principles of Assessment and Rules of Evidence and all regulatory requirements included within the Standards for Registered Training Organisations current at the time of assessment. </w:t>
            </w:r>
          </w:p>
          <w:p w:rsidR="00000000" w:rsidRPr="003C210D" w:rsidP="003C210D">
            <w:pPr>
              <w:pStyle w:val="BodyText"/>
            </w:pPr>
            <w:r w:rsidRPr="003C210D">
              <w:t>Assessment must occur in workplace operational situa</w:t>
            </w:r>
            <w:r w:rsidRPr="003C210D">
              <w:t>tions where it is appropriate to do so; where this is not appropriate, assessment must occur in simulated workplace operational situations that replicate workplace conditions.</w:t>
            </w:r>
          </w:p>
          <w:p w:rsidR="00000000" w:rsidRPr="003C210D" w:rsidP="003C210D">
            <w:pPr>
              <w:pStyle w:val="BodyText"/>
            </w:pPr>
            <w:r w:rsidRPr="003C210D">
              <w:t>Assessment processes and techniques must be appropriate to the language, literac</w:t>
            </w:r>
            <w:r w:rsidRPr="003C210D">
              <w:t>y and numeracy requirements of the work being performed and the needs of the candidate.</w:t>
            </w:r>
          </w:p>
          <w:p w:rsidR="00000000" w:rsidRPr="003C210D" w:rsidP="003C210D">
            <w:pPr>
              <w:pStyle w:val="BodyText"/>
            </w:pPr>
            <w:r w:rsidRPr="003C210D">
              <w:t>Resources for assessment must include access to:</w:t>
            </w:r>
          </w:p>
          <w:p w:rsidR="00000000" w:rsidRPr="003C210D" w:rsidP="003C210D">
            <w:pPr>
              <w:pStyle w:val="ListBullet"/>
            </w:pPr>
            <w:r w:rsidRPr="003C210D">
              <w:t>a range of relevant exercises, case studies and/or other simulations</w:t>
            </w:r>
          </w:p>
          <w:p w:rsidR="00000000" w:rsidRPr="003C210D" w:rsidP="003C210D">
            <w:pPr>
              <w:pStyle w:val="ListBullet"/>
            </w:pPr>
            <w:r w:rsidRPr="003C210D">
              <w:t>relevant and appropriate materials, tools, equipm</w:t>
            </w:r>
            <w:r w:rsidRPr="003C210D">
              <w:t xml:space="preserve">ent and personal protective equipment (PPE) currently used in industry </w:t>
            </w:r>
          </w:p>
          <w:p w:rsidR="00000000" w:rsidRPr="003C210D" w:rsidP="003C210D">
            <w:pPr>
              <w:pStyle w:val="ListBullet"/>
            </w:pPr>
            <w:r w:rsidRPr="003C210D">
              <w:t>applicable documentation, including workplace procedures, emergency response plan, equipment specifications, regulations, codes of practice and operation manuals.</w:t>
            </w:r>
          </w:p>
        </w:tc>
      </w:tr>
    </w:tbl>
    <w:p w:rsidR="00000000" w:rsidRPr="003C210D" w:rsidP="003C210D">
      <w:pPr>
        <w:pStyle w:val="NoPaddingFontSize1"/>
      </w:pPr>
    </w:p>
    <w:p w:rsidR="00000000" w:rsidRPr="003C210D" w:rsidP="003C210D">
      <w:pPr>
        <w:pStyle w:val="AllowPageBreak"/>
      </w:pPr>
    </w:p>
    <w:p w:rsidR="00000000" w:rsidRPr="003C210D" w:rsidP="003C210D">
      <w:pPr>
        <w:pStyle w:val="Heading1"/>
      </w:pPr>
      <w:bookmarkStart w:id="15" w:name="O_1079026"/>
      <w:bookmarkEnd w:id="15"/>
      <w:r w:rsidRPr="003C210D">
        <w:t>Links</w:t>
      </w:r>
    </w:p>
    <w:p w:rsidR="00000000" w:rsidRPr="003C210D" w:rsidP="00FA2729">
      <w:pPr>
        <w:pStyle w:val="BodyText"/>
      </w:pPr>
      <w:r w:rsidRPr="003C21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3A52">
        <w:rPr>
          <w:rStyle w:val="Hyperlink"/>
        </w:rPr>
        <w:t>https://vetnet.gov.au/Pages/TrainingDocs.aspx?q=b8a8f136-5421-4ce1-92e0-2b50341431b6</w:t>
      </w:r>
      <w:r>
        <w:fldChar w:fldCharType="end"/>
      </w:r>
    </w:p>
    <w:p w:rsidR="00000000" w:rsidRPr="003C210D" w:rsidP="003C210D"/>
    <w:sectPr w:rsidSect="003C21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rsidRPr="00FA2729" w:rsidP="00FA2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29" w:rsidP="003C21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2729" w:rsidP="003C21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2729" w:rsidP="003C21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rsidP="003C210D">
    <w:pPr>
      <w:pStyle w:val="Footer"/>
      <w:framePr w:wrap="around"/>
    </w:pPr>
    <w:r>
      <w:fldChar w:fldCharType="begin"/>
    </w:r>
    <w:r>
      <w:instrText xml:space="preserve"> DOCPROPERTY  Subject  \* MERGEFORMAT </w:instrText>
    </w:r>
    <w:r>
      <w:fldChar w:fldCharType="separate"/>
    </w:r>
    <w:r w:rsidR="00FA2729">
      <w:t>Approved</w:t>
    </w:r>
    <w:r w:rsidR="00FA2729">
      <w:fldChar w:fldCharType="end"/>
    </w:r>
    <w:r>
      <w:tab/>
      <w:t xml:space="preserve">Page </w:t>
    </w:r>
    <w:r>
      <w:fldChar w:fldCharType="begin"/>
    </w:r>
    <w:r>
      <w:instrText xml:space="preserve"> PAGE  \* Arabic  \* MERGEFORMAT </w:instrText>
    </w:r>
    <w:r>
      <w:fldChar w:fldCharType="separate"/>
    </w:r>
    <w:r w:rsidR="00FA27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729">
      <w:rPr>
        <w:noProof/>
      </w:rPr>
      <w:t>5</w:t>
    </w:r>
    <w:r>
      <w:rPr>
        <w:noProof/>
      </w:rPr>
      <w:fldChar w:fldCharType="end"/>
    </w:r>
  </w:p>
  <w:p w:rsidR="003C210D" w:rsidP="003C210D">
    <w:pPr>
      <w:pStyle w:val="Footer"/>
      <w:framePr w:wrap="around"/>
    </w:pPr>
    <w:r>
      <w:t xml:space="preserve">© Commonwealth of Australia, </w:t>
    </w:r>
    <w:r>
      <w:fldChar w:fldCharType="begin"/>
    </w:r>
    <w:r>
      <w:instrText xml:space="preserve"> DATE  \@ "yyyy"  \* MERGEFORMAT </w:instrText>
    </w:r>
    <w:r>
      <w:fldChar w:fldCharType="separate"/>
    </w:r>
    <w:r w:rsidR="00FA2729">
      <w:rPr>
        <w:noProof/>
      </w:rPr>
      <w:t>2025</w:t>
    </w:r>
    <w:r>
      <w:fldChar w:fldCharType="end"/>
    </w:r>
    <w:r>
      <w:tab/>
    </w:r>
    <w:r>
      <w:fldChar w:fldCharType="begin"/>
    </w:r>
    <w:r>
      <w:instrText xml:space="preserve"> DOCPROPERTY  Author  \* MERGEFORMAT </w:instrText>
    </w:r>
    <w:r>
      <w:fldChar w:fldCharType="separate"/>
    </w:r>
    <w:r w:rsidR="00FA2729">
      <w:t>Powering Skills Organisation</w:t>
    </w:r>
    <w:r w:rsidR="00FA2729">
      <w:fldChar w:fldCharType="end"/>
    </w:r>
  </w:p>
  <w:p w:rsidR="003C210D" w:rsidP="003C21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10D" w:rsidRPr="00FA2729" w:rsidP="00FA2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729" w:rsidRPr="002D2AF8" w:rsidP="003C210D">
    <w:pPr>
      <w:pStyle w:val="Header"/>
      <w:framePr w:wrap="around"/>
    </w:pPr>
    <w:r>
      <w:fldChar w:fldCharType="begin"/>
    </w:r>
    <w:r>
      <w:instrText xml:space="preserve"> TITLE   \* MERGEFORMAT </w:instrText>
    </w:r>
    <w:r>
      <w:fldChar w:fldCharType="separate"/>
    </w:r>
    <w:r>
      <w:t>UEERA0057 Operate ammonia refrigeration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729" w:rsidP="003C21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0D" w:rsidRPr="002D2AF8" w:rsidP="003C210D">
    <w:pPr>
      <w:pStyle w:val="Header"/>
      <w:framePr w:wrap="around"/>
    </w:pPr>
    <w:r>
      <w:fldChar w:fldCharType="begin"/>
    </w:r>
    <w:r>
      <w:instrText xml:space="preserve"> TITLE   \* MERGEFORMAT </w:instrText>
    </w:r>
    <w:r>
      <w:fldChar w:fldCharType="separate"/>
    </w:r>
    <w:r w:rsidR="00FA2729">
      <w:t>UEERA0057 Operate ammonia refrigeration plant</w:t>
    </w:r>
    <w:r w:rsidR="00FA2729">
      <w:fldChar w:fldCharType="end"/>
    </w:r>
    <w:r>
      <w:tab/>
      <w:t xml:space="preserve">Date this document was generated: </w:t>
    </w:r>
    <w:r>
      <w:fldChar w:fldCharType="begin"/>
    </w:r>
    <w:r>
      <w:instrText xml:space="preserve"> CREATEDATE  \@ "d MMMM yyyy"  \* MERGEFORMAT </w:instrText>
    </w:r>
    <w:r>
      <w:fldChar w:fldCharType="separate"/>
    </w:r>
    <w:r w:rsidR="00FA2729">
      <w:rPr>
        <w:noProof/>
      </w:rPr>
      <w:t>2 March 2025</w:t>
    </w:r>
    <w:r>
      <w:fldChar w:fldCharType="end"/>
    </w:r>
  </w:p>
  <w:p w:rsidR="003C210D" w:rsidP="003C21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AE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C07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E3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1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10D"/>
    <w:pPr>
      <w:spacing w:before="360" w:after="60"/>
      <w:outlineLvl w:val="0"/>
    </w:pPr>
    <w:rPr>
      <w:sz w:val="32"/>
    </w:rPr>
  </w:style>
  <w:style w:type="paragraph" w:styleId="Heading2">
    <w:name w:val="heading 2"/>
    <w:basedOn w:val="HeadingBase"/>
    <w:next w:val="BodyText"/>
    <w:link w:val="Heading2Char"/>
    <w:qFormat/>
    <w:rsid w:val="003C210D"/>
    <w:pPr>
      <w:keepLines/>
      <w:spacing w:before="240" w:after="120"/>
      <w:outlineLvl w:val="1"/>
    </w:pPr>
    <w:rPr>
      <w:sz w:val="28"/>
      <w:szCs w:val="40"/>
    </w:rPr>
  </w:style>
  <w:style w:type="paragraph" w:styleId="Heading3">
    <w:name w:val="heading 3"/>
    <w:basedOn w:val="HeadingBase"/>
    <w:next w:val="BodyText"/>
    <w:link w:val="Heading3Char"/>
    <w:qFormat/>
    <w:rsid w:val="003C210D"/>
    <w:pPr>
      <w:spacing w:before="180" w:after="120"/>
      <w:outlineLvl w:val="2"/>
    </w:pPr>
    <w:rPr>
      <w:spacing w:val="-10"/>
      <w:kern w:val="32"/>
    </w:rPr>
  </w:style>
  <w:style w:type="paragraph" w:styleId="Heading4">
    <w:name w:val="heading 4"/>
    <w:basedOn w:val="HeadingBase"/>
    <w:next w:val="BodyText"/>
    <w:link w:val="Heading4Char"/>
    <w:qFormat/>
    <w:rsid w:val="003C210D"/>
    <w:pPr>
      <w:spacing w:before="160" w:after="120"/>
      <w:outlineLvl w:val="3"/>
    </w:pPr>
    <w:rPr>
      <w:sz w:val="22"/>
    </w:rPr>
  </w:style>
  <w:style w:type="paragraph" w:styleId="Heading5">
    <w:name w:val="heading 5"/>
    <w:basedOn w:val="HeadingBase"/>
    <w:next w:val="Normal"/>
    <w:link w:val="Heading5Char"/>
    <w:qFormat/>
    <w:rsid w:val="003C210D"/>
    <w:pPr>
      <w:spacing w:before="80"/>
      <w:outlineLvl w:val="4"/>
    </w:pPr>
    <w:rPr>
      <w:color w:val="918585"/>
      <w:sz w:val="20"/>
    </w:rPr>
  </w:style>
  <w:style w:type="paragraph" w:styleId="Heading6">
    <w:name w:val="heading 6"/>
    <w:basedOn w:val="HeadingBase"/>
    <w:next w:val="Normal"/>
    <w:link w:val="Heading6Char"/>
    <w:qFormat/>
    <w:rsid w:val="003C210D"/>
    <w:pPr>
      <w:spacing w:before="60"/>
      <w:outlineLvl w:val="5"/>
    </w:pPr>
    <w:rPr>
      <w:color w:val="918585"/>
      <w:sz w:val="20"/>
    </w:rPr>
  </w:style>
  <w:style w:type="paragraph" w:styleId="Heading7">
    <w:name w:val="heading 7"/>
    <w:basedOn w:val="Normal"/>
    <w:next w:val="Normal"/>
    <w:link w:val="Heading7Char"/>
    <w:qFormat/>
    <w:rsid w:val="003C210D"/>
    <w:pPr>
      <w:ind w:left="720"/>
      <w:outlineLvl w:val="6"/>
    </w:pPr>
    <w:rPr>
      <w:i/>
    </w:rPr>
  </w:style>
  <w:style w:type="paragraph" w:styleId="Heading8">
    <w:name w:val="heading 8"/>
    <w:basedOn w:val="Normal"/>
    <w:next w:val="Normal"/>
    <w:link w:val="Heading8Char"/>
    <w:qFormat/>
    <w:rsid w:val="003C210D"/>
    <w:pPr>
      <w:ind w:left="720"/>
      <w:outlineLvl w:val="7"/>
    </w:pPr>
    <w:rPr>
      <w:i/>
    </w:rPr>
  </w:style>
  <w:style w:type="paragraph" w:styleId="Heading9">
    <w:name w:val="heading 9"/>
    <w:basedOn w:val="Normal"/>
    <w:next w:val="Normal"/>
    <w:link w:val="Heading9Char"/>
    <w:qFormat/>
    <w:rsid w:val="003C210D"/>
    <w:pPr>
      <w:ind w:left="720"/>
      <w:outlineLvl w:val="8"/>
    </w:pPr>
    <w:rPr>
      <w:i/>
    </w:rPr>
  </w:style>
  <w:style w:type="character" w:default="1" w:styleId="DefaultParagraphFont">
    <w:name w:val="Default Paragraph Font"/>
    <w:uiPriority w:val="1"/>
    <w:unhideWhenUsed/>
    <w:rsid w:val="003C21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10D"/>
  </w:style>
  <w:style w:type="character" w:customStyle="1" w:styleId="Heading1Char">
    <w:name w:val="Heading 1 Char"/>
    <w:basedOn w:val="DefaultParagraphFont"/>
    <w:link w:val="Heading1"/>
    <w:rsid w:val="003C210D"/>
    <w:rPr>
      <w:rFonts w:ascii="Times New Roman" w:eastAsia="Times New Roman" w:hAnsi="Times New Roman" w:cs="Times New Roman"/>
      <w:b/>
      <w:sz w:val="32"/>
      <w:szCs w:val="20"/>
      <w:lang w:eastAsia="en-US"/>
    </w:rPr>
  </w:style>
  <w:style w:type="paragraph" w:styleId="BodyText">
    <w:name w:val="Body Text"/>
    <w:basedOn w:val="Normal"/>
    <w:link w:val="BodyTextChar"/>
    <w:rsid w:val="003C21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10D"/>
    <w:rPr>
      <w:rFonts w:ascii="Times New Roman" w:eastAsia="Times New Roman" w:hAnsi="Times New Roman" w:cs="Times New Roman"/>
      <w:sz w:val="24"/>
      <w:lang w:eastAsia="en-US"/>
    </w:rPr>
  </w:style>
  <w:style w:type="paragraph" w:styleId="ListBullet">
    <w:name w:val="List Bullet"/>
    <w:basedOn w:val="List"/>
    <w:rsid w:val="003C210D"/>
    <w:pPr>
      <w:numPr>
        <w:numId w:val="12"/>
      </w:numPr>
      <w:tabs>
        <w:tab w:val="clear" w:pos="340"/>
      </w:tabs>
      <w:spacing w:before="40" w:after="40"/>
    </w:pPr>
  </w:style>
  <w:style w:type="character" w:customStyle="1" w:styleId="SpecialBold">
    <w:name w:val="Special Bold"/>
    <w:basedOn w:val="DefaultParagraphFont"/>
    <w:rsid w:val="003C210D"/>
    <w:rPr>
      <w:b/>
      <w:spacing w:val="0"/>
    </w:rPr>
  </w:style>
  <w:style w:type="paragraph" w:styleId="ListBullet2">
    <w:name w:val="List Bullet 2"/>
    <w:basedOn w:val="List2"/>
    <w:rsid w:val="003C210D"/>
    <w:pPr>
      <w:numPr>
        <w:numId w:val="13"/>
      </w:numPr>
      <w:tabs>
        <w:tab w:val="clear" w:pos="680"/>
      </w:tabs>
    </w:pPr>
  </w:style>
  <w:style w:type="paragraph" w:customStyle="1" w:styleId="SuperHeading">
    <w:name w:val="SuperHeading"/>
    <w:basedOn w:val="Normal"/>
    <w:rsid w:val="003C210D"/>
    <w:pPr>
      <w:spacing w:before="240" w:after="120"/>
      <w:outlineLvl w:val="0"/>
    </w:pPr>
    <w:rPr>
      <w:rFonts w:ascii="Times New Roman" w:hAnsi="Times New Roman"/>
      <w:b/>
      <w:sz w:val="32"/>
    </w:rPr>
  </w:style>
  <w:style w:type="paragraph" w:customStyle="1" w:styleId="AllowPageBreak">
    <w:name w:val="AllowPageBreak"/>
    <w:rsid w:val="003C21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21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1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1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1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1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1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1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10D"/>
    <w:rPr>
      <w:rFonts w:ascii="Courier New" w:eastAsia="Times New Roman" w:hAnsi="Courier New" w:cs="Times New Roman"/>
      <w:i/>
      <w:szCs w:val="20"/>
      <w:lang w:eastAsia="en-US"/>
    </w:rPr>
  </w:style>
  <w:style w:type="paragraph" w:customStyle="1" w:styleId="HeadingBase">
    <w:name w:val="Heading Base"/>
    <w:rsid w:val="003C21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10D"/>
    <w:pPr>
      <w:tabs>
        <w:tab w:val="right" w:leader="dot" w:pos="9072"/>
      </w:tabs>
      <w:ind w:left="567"/>
    </w:pPr>
    <w:rPr>
      <w:szCs w:val="22"/>
    </w:rPr>
  </w:style>
  <w:style w:type="paragraph" w:customStyle="1" w:styleId="TOCBase">
    <w:name w:val="TOC Base"/>
    <w:rsid w:val="003C21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10D"/>
    <w:pPr>
      <w:tabs>
        <w:tab w:val="right" w:leader="dot" w:pos="9072"/>
      </w:tabs>
      <w:spacing w:before="40" w:after="40"/>
      <w:ind w:left="284"/>
    </w:pPr>
    <w:rPr>
      <w:rFonts w:ascii="Times New Roman" w:hAnsi="Times New Roman"/>
    </w:rPr>
  </w:style>
  <w:style w:type="paragraph" w:styleId="TOC1">
    <w:name w:val="toc 1"/>
    <w:basedOn w:val="TOCBase"/>
    <w:next w:val="Normal"/>
    <w:rsid w:val="003C21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1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10D"/>
    <w:rPr>
      <w:rFonts w:ascii="Times New Roman" w:eastAsia="Times New Roman" w:hAnsi="Times New Roman" w:cs="Times New Roman"/>
      <w:sz w:val="16"/>
      <w:lang w:eastAsia="en-US"/>
    </w:rPr>
  </w:style>
  <w:style w:type="paragraph" w:styleId="Title">
    <w:name w:val="Title"/>
    <w:basedOn w:val="HeadingBase"/>
    <w:link w:val="TitleChar"/>
    <w:qFormat/>
    <w:rsid w:val="003C210D"/>
    <w:pPr>
      <w:spacing w:before="5040"/>
      <w:jc w:val="center"/>
    </w:pPr>
    <w:rPr>
      <w:sz w:val="48"/>
      <w:szCs w:val="72"/>
      <w:lang w:val="en-US"/>
    </w:rPr>
  </w:style>
  <w:style w:type="character" w:customStyle="1" w:styleId="TitleChar">
    <w:name w:val="Title Char"/>
    <w:basedOn w:val="DefaultParagraphFont"/>
    <w:link w:val="Title"/>
    <w:rsid w:val="003C21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10D"/>
    <w:pPr>
      <w:tabs>
        <w:tab w:val="left" w:pos="3600"/>
        <w:tab w:val="left" w:pos="3958"/>
      </w:tabs>
    </w:pPr>
  </w:style>
  <w:style w:type="paragraph" w:styleId="List">
    <w:name w:val="List"/>
    <w:basedOn w:val="BodyText"/>
    <w:next w:val="BodyText"/>
    <w:rsid w:val="003C210D"/>
    <w:pPr>
      <w:tabs>
        <w:tab w:val="left" w:pos="340"/>
      </w:tabs>
      <w:spacing w:before="60" w:after="60"/>
      <w:ind w:left="340" w:hanging="340"/>
    </w:pPr>
  </w:style>
  <w:style w:type="paragraph" w:customStyle="1" w:styleId="Note">
    <w:name w:val="Note"/>
    <w:basedOn w:val="BodyText"/>
    <w:rsid w:val="003C21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10D"/>
    <w:pPr>
      <w:framePr w:wrap="auto" w:hAnchor="text" w:y="6049"/>
    </w:pPr>
    <w:rPr>
      <w:color w:val="000000"/>
      <w:sz w:val="40"/>
    </w:rPr>
  </w:style>
  <w:style w:type="paragraph" w:customStyle="1" w:styleId="TOCTitle">
    <w:name w:val="TOCTitle"/>
    <w:basedOn w:val="Heading1"/>
    <w:rsid w:val="003C210D"/>
    <w:pPr>
      <w:spacing w:after="240"/>
      <w:jc w:val="center"/>
      <w:outlineLvl w:val="9"/>
    </w:pPr>
    <w:rPr>
      <w:caps/>
    </w:rPr>
  </w:style>
  <w:style w:type="paragraph" w:customStyle="1" w:styleId="Version">
    <w:name w:val="Version"/>
    <w:rsid w:val="003C21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10D"/>
    <w:pPr>
      <w:keepNext w:val="0"/>
      <w:tabs>
        <w:tab w:val="right" w:pos="4176"/>
      </w:tabs>
      <w:ind w:left="198" w:hanging="198"/>
    </w:pPr>
    <w:rPr>
      <w:rFonts w:ascii="Garamond" w:hAnsi="Garamond"/>
    </w:rPr>
  </w:style>
  <w:style w:type="paragraph" w:styleId="IndexHeading">
    <w:name w:val="index heading"/>
    <w:basedOn w:val="Normal"/>
    <w:next w:val="Index1"/>
    <w:semiHidden/>
    <w:rsid w:val="003C210D"/>
    <w:pPr>
      <w:spacing w:before="120" w:after="120"/>
    </w:pPr>
    <w:rPr>
      <w:rFonts w:ascii="Arial" w:hAnsi="Arial"/>
      <w:b/>
      <w:color w:val="918585"/>
      <w:sz w:val="24"/>
    </w:rPr>
  </w:style>
  <w:style w:type="paragraph" w:styleId="Header">
    <w:name w:val="header"/>
    <w:basedOn w:val="Normal"/>
    <w:link w:val="HeaderChar"/>
    <w:rsid w:val="003C21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10D"/>
    <w:rPr>
      <w:rFonts w:ascii="Times New Roman" w:eastAsia="Times New Roman" w:hAnsi="Times New Roman" w:cs="Times New Roman"/>
      <w:sz w:val="16"/>
      <w:szCs w:val="20"/>
      <w:lang w:val="en-GB" w:eastAsia="en-US"/>
    </w:rPr>
  </w:style>
  <w:style w:type="paragraph" w:customStyle="1" w:styleId="Chapter">
    <w:name w:val="Chapter"/>
    <w:basedOn w:val="Normal"/>
    <w:rsid w:val="003C210D"/>
    <w:pPr>
      <w:spacing w:before="240"/>
    </w:pPr>
    <w:rPr>
      <w:rFonts w:ascii="Times New Roman" w:hAnsi="Times New Roman"/>
      <w:smallCaps/>
      <w:spacing w:val="80"/>
      <w:sz w:val="28"/>
    </w:rPr>
  </w:style>
  <w:style w:type="paragraph" w:customStyle="1" w:styleId="InChapter">
    <w:name w:val="InChapter"/>
    <w:basedOn w:val="Heading3"/>
    <w:rsid w:val="003C210D"/>
    <w:pPr>
      <w:spacing w:after="240"/>
      <w:outlineLvl w:val="9"/>
    </w:pPr>
    <w:rPr>
      <w:noProof/>
    </w:rPr>
  </w:style>
  <w:style w:type="paragraph" w:styleId="Index2">
    <w:name w:val="index 2"/>
    <w:basedOn w:val="Normal"/>
    <w:next w:val="Normal"/>
    <w:semiHidden/>
    <w:rsid w:val="003C210D"/>
    <w:pPr>
      <w:tabs>
        <w:tab w:val="right" w:pos="4176"/>
      </w:tabs>
      <w:ind w:left="568" w:hanging="284"/>
    </w:pPr>
    <w:rPr>
      <w:rFonts w:ascii="Garamond" w:hAnsi="Garamond"/>
    </w:rPr>
  </w:style>
  <w:style w:type="paragraph" w:customStyle="1" w:styleId="Byline">
    <w:name w:val="Byline"/>
    <w:rsid w:val="003C21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10D"/>
    <w:pPr>
      <w:tabs>
        <w:tab w:val="clear" w:pos="3600"/>
        <w:tab w:val="clear" w:pos="3958"/>
      </w:tabs>
      <w:jc w:val="right"/>
    </w:pPr>
  </w:style>
  <w:style w:type="character" w:styleId="Emphasis">
    <w:name w:val="Emphasis"/>
    <w:basedOn w:val="DefaultParagraphFont"/>
    <w:qFormat/>
    <w:rsid w:val="003C210D"/>
    <w:rPr>
      <w:i/>
    </w:rPr>
  </w:style>
  <w:style w:type="paragraph" w:styleId="Caption">
    <w:name w:val="caption"/>
    <w:basedOn w:val="BodyText"/>
    <w:next w:val="Normal"/>
    <w:qFormat/>
    <w:rsid w:val="003C210D"/>
    <w:pPr>
      <w:framePr w:w="2268" w:hSpace="181" w:vSpace="181" w:wrap="around" w:vAnchor="text" w:hAnchor="page" w:x="1135" w:y="285" w:anchorLock="1"/>
    </w:pPr>
    <w:rPr>
      <w:i/>
    </w:rPr>
  </w:style>
  <w:style w:type="paragraph" w:customStyle="1" w:styleId="MiniTOCTitle">
    <w:name w:val="MiniTOCTitle"/>
    <w:basedOn w:val="Heading4"/>
    <w:rsid w:val="003C210D"/>
    <w:pPr>
      <w:spacing w:before="240"/>
      <w:outlineLvl w:val="9"/>
    </w:pPr>
    <w:rPr>
      <w:noProof/>
      <w:sz w:val="24"/>
    </w:rPr>
  </w:style>
  <w:style w:type="paragraph" w:customStyle="1" w:styleId="MiniTOCItem">
    <w:name w:val="MiniTOCItem"/>
    <w:basedOn w:val="ListBullet"/>
    <w:rsid w:val="003C210D"/>
    <w:pPr>
      <w:numPr>
        <w:numId w:val="0"/>
      </w:numPr>
      <w:tabs>
        <w:tab w:val="right" w:leader="dot" w:pos="6521"/>
      </w:tabs>
      <w:spacing w:before="0" w:after="0"/>
    </w:pPr>
  </w:style>
  <w:style w:type="paragraph" w:customStyle="1" w:styleId="TOFTitle">
    <w:name w:val="TOFTitle"/>
    <w:basedOn w:val="TOCTitle"/>
    <w:rsid w:val="003C210D"/>
  </w:style>
  <w:style w:type="paragraph" w:styleId="TableofFigures">
    <w:name w:val="table of figures"/>
    <w:basedOn w:val="Normal"/>
    <w:next w:val="Normal"/>
    <w:semiHidden/>
    <w:rsid w:val="003C210D"/>
    <w:pPr>
      <w:tabs>
        <w:tab w:val="right" w:leader="dot" w:pos="9072"/>
      </w:tabs>
      <w:ind w:left="970" w:hanging="403"/>
    </w:pPr>
    <w:rPr>
      <w:rFonts w:ascii="Times New Roman" w:hAnsi="Times New Roman"/>
      <w:b/>
    </w:rPr>
  </w:style>
  <w:style w:type="paragraph" w:styleId="ListNumber">
    <w:name w:val="List Number"/>
    <w:basedOn w:val="List"/>
    <w:rsid w:val="003C210D"/>
    <w:pPr>
      <w:numPr>
        <w:numId w:val="15"/>
      </w:numPr>
      <w:tabs>
        <w:tab w:val="clear" w:pos="340"/>
      </w:tabs>
    </w:pPr>
  </w:style>
  <w:style w:type="character" w:customStyle="1" w:styleId="WingdingSymbols">
    <w:name w:val="Wingding Symbols"/>
    <w:rsid w:val="003C210D"/>
    <w:rPr>
      <w:rFonts w:ascii="Wingdings" w:hAnsi="Wingdings"/>
    </w:rPr>
  </w:style>
  <w:style w:type="paragraph" w:customStyle="1" w:styleId="TableHeading">
    <w:name w:val="Table Heading"/>
    <w:basedOn w:val="HeadingBase"/>
    <w:rsid w:val="003C210D"/>
    <w:pPr>
      <w:keepLines/>
      <w:pBdr>
        <w:bottom w:val="single" w:sz="6" w:space="1" w:color="918585"/>
      </w:pBdr>
      <w:spacing w:before="240"/>
    </w:pPr>
  </w:style>
  <w:style w:type="character" w:customStyle="1" w:styleId="HotSpot">
    <w:name w:val="HotSpot"/>
    <w:rsid w:val="003C210D"/>
    <w:rPr>
      <w:color w:val="0033CC"/>
      <w:u w:val="none"/>
    </w:rPr>
  </w:style>
  <w:style w:type="paragraph" w:customStyle="1" w:styleId="BodyTextRight">
    <w:name w:val="Body Text Right"/>
    <w:basedOn w:val="BodyText"/>
    <w:rsid w:val="003C210D"/>
    <w:pPr>
      <w:spacing w:before="0" w:after="0"/>
      <w:jc w:val="right"/>
    </w:pPr>
  </w:style>
  <w:style w:type="paragraph" w:styleId="Index3">
    <w:name w:val="index 3"/>
    <w:basedOn w:val="ListNumber2"/>
    <w:next w:val="Normal"/>
    <w:semiHidden/>
    <w:rsid w:val="003C210D"/>
    <w:pPr>
      <w:numPr>
        <w:numId w:val="0"/>
      </w:numPr>
      <w:tabs>
        <w:tab w:val="right" w:leader="dot" w:pos="4176"/>
      </w:tabs>
    </w:pPr>
  </w:style>
  <w:style w:type="paragraph" w:styleId="ListNumber2">
    <w:name w:val="List Number 2"/>
    <w:basedOn w:val="List2"/>
    <w:rsid w:val="003C210D"/>
    <w:pPr>
      <w:numPr>
        <w:numId w:val="10"/>
      </w:numPr>
      <w:tabs>
        <w:tab w:val="clear" w:pos="1060"/>
      </w:tabs>
    </w:pPr>
  </w:style>
  <w:style w:type="paragraph" w:customStyle="1" w:styleId="MarginNote">
    <w:name w:val="Margin Note"/>
    <w:basedOn w:val="BodyText"/>
    <w:rsid w:val="003C21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1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1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10D"/>
    <w:rPr>
      <w:sz w:val="32"/>
    </w:rPr>
  </w:style>
  <w:style w:type="paragraph" w:customStyle="1" w:styleId="HeadingProcedure">
    <w:name w:val="Heading Procedure"/>
    <w:basedOn w:val="HeadingBase"/>
    <w:next w:val="Normal"/>
    <w:rsid w:val="003C210D"/>
    <w:pPr>
      <w:tabs>
        <w:tab w:val="left" w:pos="0"/>
      </w:tabs>
      <w:spacing w:before="120" w:after="60"/>
    </w:pPr>
    <w:rPr>
      <w:i/>
      <w:color w:val="918585"/>
      <w:sz w:val="22"/>
    </w:rPr>
  </w:style>
  <w:style w:type="paragraph" w:customStyle="1" w:styleId="TableBodyText">
    <w:name w:val="Table Body Text"/>
    <w:basedOn w:val="BodyText"/>
    <w:rsid w:val="003C210D"/>
    <w:pPr>
      <w:spacing w:before="60" w:after="60"/>
    </w:pPr>
  </w:style>
  <w:style w:type="paragraph" w:styleId="ListContinue">
    <w:name w:val="List Continue"/>
    <w:basedOn w:val="List"/>
    <w:rsid w:val="003C210D"/>
    <w:pPr>
      <w:ind w:firstLine="0"/>
    </w:pPr>
  </w:style>
  <w:style w:type="paragraph" w:customStyle="1" w:styleId="ListNote">
    <w:name w:val="List Note"/>
    <w:basedOn w:val="List"/>
    <w:rsid w:val="003C210D"/>
    <w:pPr>
      <w:pBdr>
        <w:top w:val="single" w:sz="6" w:space="2" w:color="918585"/>
        <w:bottom w:val="single" w:sz="6" w:space="2" w:color="918585"/>
      </w:pBdr>
      <w:tabs>
        <w:tab w:val="left" w:pos="1021"/>
      </w:tabs>
      <w:ind w:firstLine="0"/>
    </w:pPr>
  </w:style>
  <w:style w:type="paragraph" w:customStyle="1" w:styleId="Warning">
    <w:name w:val="Warning"/>
    <w:basedOn w:val="BodyText"/>
    <w:rsid w:val="003C210D"/>
    <w:pPr>
      <w:shd w:val="clear" w:color="auto" w:fill="D9D9D9"/>
      <w:tabs>
        <w:tab w:val="left" w:pos="992"/>
      </w:tabs>
      <w:ind w:left="119" w:right="119"/>
    </w:pPr>
    <w:rPr>
      <w:sz w:val="20"/>
    </w:rPr>
  </w:style>
  <w:style w:type="paragraph" w:customStyle="1" w:styleId="MarginIcons">
    <w:name w:val="Margin Icons"/>
    <w:basedOn w:val="BodyText"/>
    <w:rsid w:val="003C21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10D"/>
    <w:rPr>
      <w:rFonts w:ascii="Courier New" w:hAnsi="Courier New"/>
    </w:rPr>
  </w:style>
  <w:style w:type="paragraph" w:customStyle="1" w:styleId="NoteBullet">
    <w:name w:val="Note Bullet"/>
    <w:basedOn w:val="Note"/>
    <w:rsid w:val="003C210D"/>
    <w:pPr>
      <w:tabs>
        <w:tab w:val="clear" w:pos="680"/>
      </w:tabs>
      <w:spacing w:before="60" w:after="60"/>
    </w:pPr>
  </w:style>
  <w:style w:type="paragraph" w:customStyle="1" w:styleId="SubHeading2">
    <w:name w:val="SubHeading2"/>
    <w:basedOn w:val="HeadingBase"/>
    <w:rsid w:val="003C210D"/>
    <w:pPr>
      <w:spacing w:before="240" w:after="60"/>
    </w:pPr>
    <w:rPr>
      <w:sz w:val="20"/>
    </w:rPr>
  </w:style>
  <w:style w:type="paragraph" w:customStyle="1" w:styleId="SubHeading1">
    <w:name w:val="SubHeading1"/>
    <w:basedOn w:val="HeadingBase"/>
    <w:rsid w:val="003C210D"/>
    <w:pPr>
      <w:spacing w:before="240" w:after="60"/>
    </w:pPr>
    <w:rPr>
      <w:color w:val="918585"/>
      <w:sz w:val="22"/>
    </w:rPr>
  </w:style>
  <w:style w:type="paragraph" w:customStyle="1" w:styleId="SideHeading">
    <w:name w:val="Side Heading"/>
    <w:basedOn w:val="HeadingBase"/>
    <w:rsid w:val="003C21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10D"/>
    <w:pPr>
      <w:tabs>
        <w:tab w:val="num" w:pos="360"/>
      </w:tabs>
    </w:pPr>
  </w:style>
  <w:style w:type="paragraph" w:styleId="PlainText">
    <w:name w:val="Plain Text"/>
    <w:basedOn w:val="Normal"/>
    <w:link w:val="PlainTextChar"/>
    <w:rsid w:val="003C210D"/>
    <w:rPr>
      <w:sz w:val="20"/>
    </w:rPr>
  </w:style>
  <w:style w:type="character" w:customStyle="1" w:styleId="PlainTextChar">
    <w:name w:val="Plain Text Char"/>
    <w:basedOn w:val="DefaultParagraphFont"/>
    <w:link w:val="PlainText"/>
    <w:rsid w:val="003C210D"/>
    <w:rPr>
      <w:rFonts w:ascii="Courier New" w:eastAsia="Times New Roman" w:hAnsi="Courier New" w:cs="Times New Roman"/>
      <w:sz w:val="20"/>
      <w:szCs w:val="20"/>
      <w:lang w:eastAsia="en-US"/>
    </w:rPr>
  </w:style>
  <w:style w:type="character" w:customStyle="1" w:styleId="MenuOption">
    <w:name w:val="Menu Option"/>
    <w:basedOn w:val="DefaultParagraphFont"/>
    <w:rsid w:val="003C210D"/>
    <w:rPr>
      <w:b/>
      <w:smallCaps/>
    </w:rPr>
  </w:style>
  <w:style w:type="paragraph" w:customStyle="1" w:styleId="TableListNumber">
    <w:name w:val="Table List Number"/>
    <w:basedOn w:val="ListNumber"/>
    <w:rsid w:val="003C210D"/>
    <w:pPr>
      <w:numPr>
        <w:numId w:val="0"/>
      </w:numPr>
    </w:pPr>
  </w:style>
  <w:style w:type="paragraph" w:styleId="TOC4">
    <w:name w:val="toc 4"/>
    <w:basedOn w:val="TOCBase"/>
    <w:next w:val="Normal"/>
    <w:semiHidden/>
    <w:rsid w:val="003C210D"/>
    <w:pPr>
      <w:tabs>
        <w:tab w:val="right" w:leader="dot" w:pos="9071"/>
      </w:tabs>
      <w:ind w:left="1701"/>
    </w:pPr>
  </w:style>
  <w:style w:type="paragraph" w:customStyle="1" w:styleId="ListAlpha">
    <w:name w:val="List Alpha"/>
    <w:basedOn w:val="List"/>
    <w:rsid w:val="003C210D"/>
    <w:pPr>
      <w:numPr>
        <w:numId w:val="9"/>
      </w:numPr>
    </w:pPr>
  </w:style>
  <w:style w:type="paragraph" w:customStyle="1" w:styleId="ListAlpha2">
    <w:name w:val="List Alpha 2"/>
    <w:basedOn w:val="List2"/>
    <w:rsid w:val="003C210D"/>
    <w:pPr>
      <w:numPr>
        <w:numId w:val="8"/>
      </w:numPr>
    </w:pPr>
  </w:style>
  <w:style w:type="paragraph" w:styleId="List2">
    <w:name w:val="List 2"/>
    <w:basedOn w:val="BodyText"/>
    <w:rsid w:val="003C210D"/>
    <w:pPr>
      <w:tabs>
        <w:tab w:val="left" w:pos="680"/>
      </w:tabs>
      <w:spacing w:before="60" w:after="60"/>
      <w:ind w:left="680" w:hanging="340"/>
    </w:pPr>
  </w:style>
  <w:style w:type="paragraph" w:styleId="List3">
    <w:name w:val="List 3"/>
    <w:basedOn w:val="BodyText"/>
    <w:rsid w:val="003C210D"/>
    <w:pPr>
      <w:tabs>
        <w:tab w:val="left" w:pos="1021"/>
      </w:tabs>
      <w:spacing w:before="60" w:after="60"/>
      <w:ind w:left="1020" w:hanging="340"/>
    </w:pPr>
  </w:style>
  <w:style w:type="paragraph" w:styleId="List4">
    <w:name w:val="List 4"/>
    <w:basedOn w:val="BodyText"/>
    <w:rsid w:val="003C210D"/>
    <w:pPr>
      <w:tabs>
        <w:tab w:val="left" w:pos="1361"/>
      </w:tabs>
      <w:spacing w:before="60" w:after="60"/>
      <w:ind w:left="1361" w:hanging="340"/>
    </w:pPr>
  </w:style>
  <w:style w:type="paragraph" w:styleId="List5">
    <w:name w:val="List 5"/>
    <w:basedOn w:val="BodyText"/>
    <w:rsid w:val="003C210D"/>
    <w:pPr>
      <w:tabs>
        <w:tab w:val="left" w:pos="1701"/>
      </w:tabs>
      <w:spacing w:before="60" w:after="60"/>
      <w:ind w:left="1701" w:hanging="340"/>
    </w:pPr>
  </w:style>
  <w:style w:type="paragraph" w:styleId="ListBullet3">
    <w:name w:val="List Bullet 3"/>
    <w:basedOn w:val="List3"/>
    <w:rsid w:val="003C210D"/>
    <w:pPr>
      <w:numPr>
        <w:numId w:val="14"/>
      </w:numPr>
      <w:tabs>
        <w:tab w:val="clear" w:pos="1021"/>
      </w:tabs>
      <w:ind w:left="1037" w:hanging="357"/>
    </w:pPr>
  </w:style>
  <w:style w:type="paragraph" w:styleId="ListBullet4">
    <w:name w:val="List Bullet 4"/>
    <w:basedOn w:val="List4"/>
    <w:rsid w:val="003C210D"/>
    <w:pPr>
      <w:numPr>
        <w:numId w:val="3"/>
      </w:numPr>
      <w:tabs>
        <w:tab w:val="clear" w:pos="1361"/>
      </w:tabs>
    </w:pPr>
  </w:style>
  <w:style w:type="paragraph" w:styleId="ListBullet5">
    <w:name w:val="List Bullet 5"/>
    <w:basedOn w:val="List5"/>
    <w:rsid w:val="003C210D"/>
    <w:pPr>
      <w:numPr>
        <w:numId w:val="4"/>
      </w:numPr>
    </w:pPr>
  </w:style>
  <w:style w:type="paragraph" w:styleId="ListContinue2">
    <w:name w:val="List Continue 2"/>
    <w:basedOn w:val="List2"/>
    <w:rsid w:val="003C210D"/>
    <w:pPr>
      <w:ind w:firstLine="0"/>
    </w:pPr>
  </w:style>
  <w:style w:type="paragraph" w:styleId="ListContinue3">
    <w:name w:val="List Continue 3"/>
    <w:basedOn w:val="List3"/>
    <w:rsid w:val="003C210D"/>
    <w:pPr>
      <w:ind w:left="1021" w:firstLine="0"/>
    </w:pPr>
  </w:style>
  <w:style w:type="paragraph" w:styleId="ListContinue4">
    <w:name w:val="List Continue 4"/>
    <w:basedOn w:val="List4"/>
    <w:rsid w:val="003C210D"/>
    <w:pPr>
      <w:ind w:firstLine="0"/>
    </w:pPr>
  </w:style>
  <w:style w:type="paragraph" w:styleId="ListContinue5">
    <w:name w:val="List Continue 5"/>
    <w:basedOn w:val="List5"/>
    <w:rsid w:val="003C210D"/>
    <w:pPr>
      <w:ind w:firstLine="0"/>
    </w:pPr>
  </w:style>
  <w:style w:type="paragraph" w:styleId="ListNumber3">
    <w:name w:val="List Number 3"/>
    <w:basedOn w:val="List3"/>
    <w:rsid w:val="003C210D"/>
    <w:pPr>
      <w:numPr>
        <w:numId w:val="5"/>
      </w:numPr>
    </w:pPr>
  </w:style>
  <w:style w:type="paragraph" w:styleId="ListNumber4">
    <w:name w:val="List Number 4"/>
    <w:basedOn w:val="List4"/>
    <w:rsid w:val="003C210D"/>
    <w:pPr>
      <w:numPr>
        <w:numId w:val="6"/>
      </w:numPr>
    </w:pPr>
  </w:style>
  <w:style w:type="paragraph" w:styleId="ListNumber5">
    <w:name w:val="List Number 5"/>
    <w:basedOn w:val="List5"/>
    <w:rsid w:val="003C210D"/>
    <w:pPr>
      <w:numPr>
        <w:numId w:val="7"/>
      </w:numPr>
    </w:pPr>
  </w:style>
  <w:style w:type="paragraph" w:styleId="BlockText">
    <w:name w:val="Block Text"/>
    <w:basedOn w:val="Normal"/>
    <w:rsid w:val="003C210D"/>
    <w:pPr>
      <w:spacing w:after="120"/>
      <w:ind w:left="1440" w:right="1440"/>
    </w:pPr>
  </w:style>
  <w:style w:type="character" w:customStyle="1" w:styleId="Subscript">
    <w:name w:val="Subscript"/>
    <w:basedOn w:val="DefaultParagraphFont"/>
    <w:rsid w:val="003C210D"/>
    <w:rPr>
      <w:sz w:val="16"/>
      <w:vertAlign w:val="subscript"/>
    </w:rPr>
  </w:style>
  <w:style w:type="character" w:customStyle="1" w:styleId="Superscript">
    <w:name w:val="Superscript"/>
    <w:basedOn w:val="DefaultParagraphFont"/>
    <w:rsid w:val="003C210D"/>
    <w:rPr>
      <w:sz w:val="16"/>
      <w:vertAlign w:val="superscript"/>
    </w:rPr>
  </w:style>
  <w:style w:type="character" w:customStyle="1" w:styleId="Symbols">
    <w:name w:val="Symbols"/>
    <w:basedOn w:val="DefaultParagraphFont"/>
    <w:rsid w:val="003C210D"/>
    <w:rPr>
      <w:rFonts w:ascii="Symbol" w:hAnsi="Symbol"/>
    </w:rPr>
  </w:style>
  <w:style w:type="character" w:customStyle="1" w:styleId="MenuOptions">
    <w:name w:val="Menu Options"/>
    <w:basedOn w:val="DefaultParagraphFont"/>
    <w:rsid w:val="003C210D"/>
    <w:rPr>
      <w:rFonts w:ascii="Arial Narrow" w:hAnsi="Arial Narrow"/>
      <w:smallCaps/>
    </w:rPr>
  </w:style>
  <w:style w:type="character" w:customStyle="1" w:styleId="Buttons">
    <w:name w:val="Buttons"/>
    <w:basedOn w:val="DefaultParagraphFont"/>
    <w:rsid w:val="003C210D"/>
    <w:rPr>
      <w:b/>
    </w:rPr>
  </w:style>
  <w:style w:type="character" w:customStyle="1" w:styleId="Underlined">
    <w:name w:val="Underlined"/>
    <w:basedOn w:val="DefaultParagraphFont"/>
    <w:rsid w:val="003C210D"/>
    <w:rPr>
      <w:u w:val="single"/>
    </w:rPr>
  </w:style>
  <w:style w:type="paragraph" w:customStyle="1" w:styleId="TableBodyTextRight">
    <w:name w:val="Table Body Text Right"/>
    <w:basedOn w:val="TableBodyText"/>
    <w:rsid w:val="003C210D"/>
    <w:pPr>
      <w:widowControl w:val="0"/>
      <w:autoSpaceDE w:val="0"/>
      <w:autoSpaceDN w:val="0"/>
      <w:adjustRightInd w:val="0"/>
      <w:jc w:val="right"/>
    </w:pPr>
    <w:rPr>
      <w:rFonts w:cs="Arial"/>
      <w:szCs w:val="18"/>
    </w:rPr>
  </w:style>
  <w:style w:type="paragraph" w:customStyle="1" w:styleId="CopyrightText">
    <w:name w:val="Copyright Text"/>
    <w:basedOn w:val="BodyText"/>
    <w:rsid w:val="003C210D"/>
    <w:rPr>
      <w:sz w:val="18"/>
    </w:rPr>
  </w:style>
  <w:style w:type="paragraph" w:customStyle="1" w:styleId="BodySmallRight">
    <w:name w:val="Body Small Right"/>
    <w:basedOn w:val="BodyTextRight"/>
    <w:rsid w:val="003C210D"/>
    <w:rPr>
      <w:sz w:val="18"/>
      <w:szCs w:val="18"/>
    </w:rPr>
  </w:style>
  <w:style w:type="paragraph" w:customStyle="1" w:styleId="MarginEdition">
    <w:name w:val="Margin Edition"/>
    <w:basedOn w:val="MarginNote"/>
    <w:rsid w:val="003C210D"/>
    <w:pPr>
      <w:spacing w:before="0" w:after="0"/>
    </w:pPr>
    <w:rPr>
      <w:rFonts w:ascii="Times New Roman" w:hAnsi="Times New Roman"/>
      <w:color w:val="999999"/>
    </w:rPr>
  </w:style>
  <w:style w:type="paragraph" w:customStyle="1" w:styleId="Spacer">
    <w:name w:val="Spacer"/>
    <w:basedOn w:val="Normal"/>
    <w:rsid w:val="003C210D"/>
    <w:rPr>
      <w:sz w:val="2"/>
      <w:szCs w:val="2"/>
    </w:rPr>
  </w:style>
  <w:style w:type="character" w:customStyle="1" w:styleId="Small">
    <w:name w:val="Small"/>
    <w:basedOn w:val="DefaultParagraphFont"/>
    <w:rsid w:val="003C210D"/>
    <w:rPr>
      <w:sz w:val="16"/>
    </w:rPr>
  </w:style>
  <w:style w:type="paragraph" w:customStyle="1" w:styleId="WideTable">
    <w:name w:val="Wide Table"/>
    <w:basedOn w:val="Normal"/>
    <w:rsid w:val="003C210D"/>
    <w:pPr>
      <w:ind w:left="-1418"/>
    </w:pPr>
    <w:rPr>
      <w:sz w:val="2"/>
      <w:szCs w:val="2"/>
    </w:rPr>
  </w:style>
  <w:style w:type="character" w:styleId="PageNumber">
    <w:name w:val="page number"/>
    <w:basedOn w:val="DefaultParagraphFont"/>
    <w:rsid w:val="003C210D"/>
  </w:style>
  <w:style w:type="paragraph" w:styleId="Quote">
    <w:name w:val="Quote"/>
    <w:basedOn w:val="Heading1"/>
    <w:link w:val="QuoteChar"/>
    <w:qFormat/>
    <w:rsid w:val="003C210D"/>
    <w:rPr>
      <w:b w:val="0"/>
      <w:sz w:val="72"/>
      <w:szCs w:val="72"/>
      <w:lang w:val="en-NZ"/>
    </w:rPr>
  </w:style>
  <w:style w:type="character" w:customStyle="1" w:styleId="QuoteChar">
    <w:name w:val="Quote Char"/>
    <w:basedOn w:val="DefaultParagraphFont"/>
    <w:link w:val="Quote"/>
    <w:rsid w:val="003C21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10D"/>
    <w:pPr>
      <w:pageBreakBefore/>
    </w:pPr>
  </w:style>
  <w:style w:type="paragraph" w:customStyle="1" w:styleId="Border">
    <w:name w:val="Border"/>
    <w:basedOn w:val="Normal"/>
    <w:qFormat/>
    <w:rsid w:val="003C21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10D"/>
    <w:rPr>
      <w:b/>
      <w:bCs/>
      <w:i/>
      <w:iCs/>
      <w:color w:val="auto"/>
    </w:rPr>
  </w:style>
  <w:style w:type="paragraph" w:styleId="IntenseQuote">
    <w:name w:val="Intense Quote"/>
    <w:basedOn w:val="Normal"/>
    <w:next w:val="Normal"/>
    <w:link w:val="IntenseQuoteChar"/>
    <w:uiPriority w:val="30"/>
    <w:qFormat/>
    <w:rsid w:val="003C21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1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10D"/>
    <w:rPr>
      <w:smallCaps/>
      <w:color w:val="auto"/>
      <w:u w:val="single"/>
    </w:rPr>
  </w:style>
  <w:style w:type="character" w:styleId="IntenseReference">
    <w:name w:val="Intense Reference"/>
    <w:basedOn w:val="DefaultParagraphFont"/>
    <w:uiPriority w:val="32"/>
    <w:qFormat/>
    <w:rsid w:val="003C210D"/>
    <w:rPr>
      <w:b/>
      <w:bCs/>
      <w:smallCaps/>
      <w:color w:val="auto"/>
      <w:spacing w:val="5"/>
      <w:u w:val="single"/>
    </w:rPr>
  </w:style>
  <w:style w:type="paragraph" w:customStyle="1" w:styleId="2ColumnHeading">
    <w:name w:val="2Column Heading"/>
    <w:basedOn w:val="BodyText"/>
    <w:qFormat/>
    <w:rsid w:val="003C210D"/>
    <w:pPr>
      <w:spacing w:after="60"/>
      <w:ind w:left="-2268"/>
    </w:pPr>
    <w:rPr>
      <w:b/>
    </w:rPr>
  </w:style>
  <w:style w:type="paragraph" w:customStyle="1" w:styleId="Heading1TOC">
    <w:name w:val="Heading1 TOC"/>
    <w:basedOn w:val="Normal"/>
    <w:qFormat/>
    <w:rsid w:val="003C210D"/>
    <w:pPr>
      <w:spacing w:before="240" w:after="120"/>
    </w:pPr>
    <w:rPr>
      <w:rFonts w:ascii="Times New Roman" w:hAnsi="Times New Roman"/>
      <w:b/>
      <w:sz w:val="32"/>
    </w:rPr>
  </w:style>
  <w:style w:type="paragraph" w:customStyle="1" w:styleId="Heading2TOC">
    <w:name w:val="Heading2 TOC"/>
    <w:basedOn w:val="Normal"/>
    <w:qFormat/>
    <w:rsid w:val="003C210D"/>
    <w:pPr>
      <w:spacing w:before="240" w:after="60"/>
    </w:pPr>
    <w:rPr>
      <w:rFonts w:ascii="Times New Roman" w:hAnsi="Times New Roman"/>
      <w:b/>
      <w:sz w:val="28"/>
    </w:rPr>
  </w:style>
  <w:style w:type="character" w:customStyle="1" w:styleId="Underline">
    <w:name w:val="Underline"/>
    <w:basedOn w:val="DefaultParagraphFont"/>
    <w:qFormat/>
    <w:rsid w:val="003C210D"/>
    <w:rPr>
      <w:u w:val="single"/>
    </w:rPr>
  </w:style>
  <w:style w:type="character" w:customStyle="1" w:styleId="BoldandItalics">
    <w:name w:val="Bold and Italics"/>
    <w:qFormat/>
    <w:rsid w:val="003C210D"/>
    <w:rPr>
      <w:b/>
      <w:i/>
      <w:u w:val="none"/>
    </w:rPr>
  </w:style>
  <w:style w:type="paragraph" w:styleId="BalloonText">
    <w:name w:val="Balloon Text"/>
    <w:basedOn w:val="Normal"/>
    <w:link w:val="BalloonTextChar"/>
    <w:rsid w:val="003C210D"/>
    <w:rPr>
      <w:rFonts w:ascii="Tahoma" w:hAnsi="Tahoma" w:cs="Tahoma"/>
      <w:sz w:val="16"/>
      <w:szCs w:val="16"/>
    </w:rPr>
  </w:style>
  <w:style w:type="character" w:customStyle="1" w:styleId="BalloonTextChar">
    <w:name w:val="Balloon Text Char"/>
    <w:basedOn w:val="DefaultParagraphFont"/>
    <w:link w:val="BalloonText"/>
    <w:rsid w:val="003C21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1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1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10D"/>
    <w:rPr>
      <w:b/>
      <w:color w:val="660033"/>
      <w:spacing w:val="0"/>
    </w:rPr>
  </w:style>
  <w:style w:type="paragraph" w:customStyle="1" w:styleId="Nameditemlist">
    <w:name w:val="Named item list"/>
    <w:basedOn w:val="BodyText"/>
    <w:qFormat/>
    <w:rsid w:val="003C210D"/>
    <w:pPr>
      <w:tabs>
        <w:tab w:val="left" w:pos="2835"/>
      </w:tabs>
      <w:ind w:left="2835" w:hanging="2835"/>
    </w:pPr>
  </w:style>
  <w:style w:type="paragraph" w:customStyle="1" w:styleId="BodyTextnopadding">
    <w:name w:val="Body Text no padding"/>
    <w:basedOn w:val="BodyText"/>
    <w:qFormat/>
    <w:rsid w:val="003C210D"/>
    <w:pPr>
      <w:spacing w:before="0" w:after="0"/>
    </w:pPr>
  </w:style>
  <w:style w:type="paragraph" w:customStyle="1" w:styleId="BodyTextBold">
    <w:name w:val="Body Text Bold"/>
    <w:basedOn w:val="BodyText"/>
    <w:qFormat/>
    <w:rsid w:val="003C210D"/>
    <w:rPr>
      <w:b/>
    </w:rPr>
  </w:style>
  <w:style w:type="character" w:styleId="Hyperlink">
    <w:name w:val="Hyperlink"/>
    <w:basedOn w:val="DefaultParagraphFont"/>
    <w:uiPriority w:val="99"/>
    <w:unhideWhenUsed/>
    <w:rsid w:val="00FA2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1503</Words>
  <Characters>10010</Characters>
  <Application>Microsoft Office Word</Application>
  <DocSecurity>0</DocSecurity>
  <Lines>322</Lines>
  <Paragraphs>174</Paragraphs>
  <ScaleCrop>false</ScaleCrop>
  <Company>Author-it Software Corporation Ltd.</Company>
  <LinksUpToDate>false</LinksUpToDate>
  <CharactersWithSpaces>11339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UEERA0057 Operate ammonia refrigeration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