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86CCA" w:rsidP="00286CCA">
      <w:pPr>
        <w:pStyle w:val="Title"/>
      </w:pPr>
      <w:r>
        <w:fldChar w:fldCharType="begin"/>
      </w:r>
      <w:r>
        <w:instrText xml:space="preserve"> TITLE   \* MERGEFORMAT </w:instrText>
      </w:r>
      <w:r>
        <w:fldChar w:fldCharType="separate"/>
      </w:r>
      <w:r>
        <w:t>UEERA0048 Install and commission flammable refrigerant air conditioning and refrigeration systems</w:t>
      </w:r>
      <w:r>
        <w:fldChar w:fldCharType="end"/>
      </w:r>
    </w:p>
    <w:p w:rsidR="00286CCA" w:rsidP="00286CCA">
      <w:pPr>
        <w:pStyle w:val="Version"/>
        <w:sectPr w:rsidSect="00280A2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80A2E" w:rsidP="00280A2E">
      <w:pPr>
        <w:pStyle w:val="SuperHeading"/>
      </w:pPr>
      <w:r w:rsidRPr="00280A2E">
        <w:t>UEERA0048 Install and commission flammable refrigerant air conditioning and refrigeration systems</w:t>
      </w:r>
    </w:p>
    <w:p w:rsidR="00000000" w:rsidRPr="00280A2E" w:rsidP="00280A2E">
      <w:pPr>
        <w:pStyle w:val="Heading1"/>
      </w:pPr>
      <w:bookmarkStart w:id="1" w:name="O_1079419"/>
      <w:bookmarkEnd w:id="1"/>
      <w:r w:rsidRPr="00280A2E">
        <w:t>Modification History</w:t>
      </w:r>
    </w:p>
    <w:tbl>
      <w:tblPr>
        <w:tblW w:w="9497" w:type="dxa"/>
        <w:tblLayout w:type="fixed"/>
        <w:tblCellMar>
          <w:left w:w="62" w:type="dxa"/>
          <w:right w:w="62" w:type="dxa"/>
        </w:tblCellMar>
        <w:tblLook w:val="0000"/>
      </w:tblPr>
      <w:tblGrid>
        <w:gridCol w:w="9497"/>
      </w:tblGrid>
      <w:tr w:rsidTr="00280A2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80A2E" w:rsidP="00280A2E">
            <w:pPr>
              <w:pStyle w:val="BodyText"/>
            </w:pPr>
            <w:r w:rsidRPr="00280A2E">
              <w:t>Release 1. This is the first release of this unit of competency in the UEE Electrotechnology Training Package.</w:t>
            </w:r>
          </w:p>
        </w:tc>
      </w:tr>
    </w:tbl>
    <w:p w:rsidR="00000000" w:rsidRPr="00280A2E" w:rsidP="00280A2E">
      <w:pPr>
        <w:pStyle w:val="NoPaddingFontSize1"/>
      </w:pPr>
    </w:p>
    <w:p w:rsidR="00000000" w:rsidRPr="00280A2E" w:rsidP="00280A2E">
      <w:pPr>
        <w:pStyle w:val="AllowPageBreak"/>
      </w:pPr>
    </w:p>
    <w:p w:rsidR="00000000" w:rsidRPr="00280A2E" w:rsidP="00280A2E">
      <w:pPr>
        <w:pStyle w:val="Heading1"/>
      </w:pPr>
      <w:bookmarkStart w:id="2" w:name="O_1079420"/>
      <w:bookmarkEnd w:id="2"/>
      <w:r w:rsidRPr="00280A2E">
        <w:t>Application</w:t>
      </w:r>
    </w:p>
    <w:tbl>
      <w:tblPr>
        <w:tblW w:w="9497" w:type="dxa"/>
        <w:tblLayout w:type="fixed"/>
        <w:tblCellMar>
          <w:left w:w="62" w:type="dxa"/>
          <w:right w:w="62" w:type="dxa"/>
        </w:tblCellMar>
        <w:tblLook w:val="0000"/>
      </w:tblPr>
      <w:tblGrid>
        <w:gridCol w:w="9497"/>
      </w:tblGrid>
      <w:tr w:rsidTr="00280A2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80A2E" w:rsidP="00280A2E">
            <w:pPr>
              <w:pStyle w:val="BodyText"/>
            </w:pPr>
            <w:r w:rsidRPr="00280A2E">
              <w:t>This unit involves the skills and knowledge required to install and commission Class A2, A2L and A3 flammable refrigerant air conditioning and refrigeration systems, components and associated equipment in accordance with legis</w:t>
            </w:r>
            <w:r w:rsidRPr="00280A2E">
              <w:t>lative, standard and code requirements. It includes working safely and installing equipment, components and piping to job specifications. It also includes completing pre-commissioning tests, starting the system, ensuring correct refrigerant charge, adjusti</w:t>
            </w:r>
            <w:r w:rsidRPr="00280A2E">
              <w:t>ng components and controls to efficient operation, completing installation and commissioning documentation.</w:t>
            </w:r>
          </w:p>
          <w:p w:rsidR="00000000" w:rsidRPr="00280A2E" w:rsidP="00280A2E">
            <w:pPr>
              <w:pStyle w:val="BodyText"/>
            </w:pPr>
            <w:r w:rsidRPr="00280A2E">
              <w:t>Some flammable refrigerants, for example, fluorocarbons like R32, are controlled under the national Ozone Protection and Synthetic Greenhouse Gas Ma</w:t>
            </w:r>
            <w:r w:rsidRPr="00280A2E">
              <w:t>nagement Regulations 1995. Therefore, to undertake this unit, the learner must have a relevant Trainee Refrigerant Handling Licence if it includes work on refrigeration and air conditioning equipment that carries the risk of a fluorocarbon refrigerant bein</w:t>
            </w:r>
            <w:r w:rsidRPr="00280A2E">
              <w:t>g emitted.</w:t>
            </w:r>
          </w:p>
          <w:p w:rsidR="00000000" w:rsidRPr="00280A2E" w:rsidP="00280A2E">
            <w:pPr>
              <w:pStyle w:val="BodyText"/>
            </w:pPr>
            <w:r w:rsidRPr="00280A2E">
              <w:t>The skills and knowledge described in this unit require a national Refrigerant Handling Licence if it includes work on refrigeration and air conditioning equipment that carries the risk of a fluorocarbon refrigerant being emitted while decanting</w:t>
            </w:r>
            <w:r w:rsidRPr="00280A2E">
              <w:t xml:space="preserve"> the refrigerant or manufacturing, installing, commissioning, servicing, maintaining or decommissioning refrigeration and air conditioning equipment.</w:t>
            </w:r>
          </w:p>
          <w:p w:rsidR="00000000" w:rsidRPr="00280A2E" w:rsidP="00280A2E">
            <w:pPr>
              <w:pStyle w:val="BodyText"/>
            </w:pPr>
            <w:r w:rsidRPr="00280A2E">
              <w:t>The skills and knowledge described in this unit require a licence or permit to practice in the workplace w</w:t>
            </w:r>
            <w:r w:rsidRPr="00280A2E">
              <w:t xml:space="preserve">here work is carried out on electrical installations which are designed to operate at voltages greater than 50 volt (V) alternating current (a.c.) or 120 V direct current (d.c.). </w:t>
            </w:r>
          </w:p>
          <w:p w:rsidR="00000000" w:rsidRPr="00280A2E" w:rsidP="00280A2E">
            <w:pPr>
              <w:pStyle w:val="BodyText"/>
            </w:pPr>
            <w:r w:rsidRPr="00280A2E">
              <w:t>Competency development activities in this unit are subject to regulations di</w:t>
            </w:r>
            <w:r w:rsidRPr="00280A2E">
              <w:t xml:space="preserve">rectly related to licensing. Where a licence or permit to practice is not held, skills and knowledge described in this unit require a relevant contract of training, such as an Australian Apprenticeship. </w:t>
            </w:r>
          </w:p>
          <w:p w:rsidR="00000000" w:rsidRPr="00280A2E" w:rsidP="00280A2E">
            <w:pPr>
              <w:pStyle w:val="BodyText"/>
            </w:pPr>
            <w:r w:rsidRPr="00280A2E">
              <w:t>Additional and/or other conditions may apply in some</w:t>
            </w:r>
            <w:r w:rsidRPr="00280A2E">
              <w:t xml:space="preserve"> jurisdictions subject to regulations related to refrigeration, air conditioning or electrical work. Practice in the workplace and during training is also subject to work health and safety (WHS)/occupational health and safety (OHS) regulations.            </w:t>
            </w:r>
            <w:r w:rsidRPr="00280A2E">
              <w:t xml:space="preserve">                                                                                                    </w:t>
            </w:r>
          </w:p>
          <w:p w:rsidR="00000000" w:rsidRPr="00280A2E" w:rsidP="00280A2E">
            <w:pPr>
              <w:pStyle w:val="BodyText"/>
            </w:pPr>
            <w:r w:rsidRPr="00280A2E">
              <w:t>Permits may also be required for some work environments, such as confined spaces, working aloft, near live electrical apparatus and site rehabilitation.</w:t>
            </w:r>
          </w:p>
        </w:tc>
      </w:tr>
    </w:tbl>
    <w:p w:rsidR="00000000" w:rsidRPr="00280A2E" w:rsidP="00280A2E">
      <w:pPr>
        <w:pStyle w:val="NoPaddingFontSize1"/>
      </w:pPr>
    </w:p>
    <w:p w:rsidR="00000000" w:rsidRPr="00280A2E" w:rsidP="00280A2E">
      <w:pPr>
        <w:pStyle w:val="AllowPageBreak"/>
      </w:pPr>
    </w:p>
    <w:p w:rsidR="00000000" w:rsidRPr="00280A2E" w:rsidP="00280A2E">
      <w:pPr>
        <w:pStyle w:val="Heading1"/>
      </w:pPr>
      <w:bookmarkStart w:id="3" w:name="O_1079421"/>
      <w:bookmarkEnd w:id="3"/>
      <w:r w:rsidRPr="00280A2E">
        <w:t>Pre-requisite Unit</w:t>
      </w:r>
    </w:p>
    <w:tbl>
      <w:tblPr>
        <w:tblW w:w="9497" w:type="dxa"/>
        <w:tblLayout w:type="fixed"/>
        <w:tblCellMar>
          <w:left w:w="62" w:type="dxa"/>
          <w:right w:w="62" w:type="dxa"/>
        </w:tblCellMar>
        <w:tblLook w:val="0000"/>
      </w:tblPr>
      <w:tblGrid>
        <w:gridCol w:w="9497"/>
      </w:tblGrid>
      <w:tr w:rsidTr="00280A2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80A2E" w:rsidP="00280A2E">
            <w:pPr>
              <w:pStyle w:val="BodyText"/>
            </w:pPr>
            <w:r w:rsidRPr="00280A2E">
              <w:t>UEERA0007 Apply safety awareness and legal requirements for flammable refrigerants</w:t>
            </w:r>
          </w:p>
          <w:p w:rsidR="00000000" w:rsidRPr="00280A2E" w:rsidP="00280A2E">
            <w:pPr>
              <w:pStyle w:val="BodyText"/>
            </w:pPr>
            <w:r w:rsidRPr="00280A2E">
              <w:t>UEERA0053 Install, commission, service and maintain medium temperature systems</w:t>
            </w:r>
          </w:p>
        </w:tc>
      </w:tr>
    </w:tbl>
    <w:p w:rsidR="00000000" w:rsidRPr="00280A2E" w:rsidP="00280A2E">
      <w:pPr>
        <w:pStyle w:val="NoPaddingFontSize1"/>
      </w:pPr>
    </w:p>
    <w:p w:rsidR="00000000" w:rsidRPr="00280A2E" w:rsidP="00280A2E">
      <w:pPr>
        <w:pStyle w:val="AllowPageBreak"/>
      </w:pPr>
    </w:p>
    <w:p w:rsidR="00000000" w:rsidRPr="00280A2E" w:rsidP="00280A2E">
      <w:pPr>
        <w:pStyle w:val="Heading1"/>
      </w:pPr>
      <w:bookmarkStart w:id="4" w:name="O_1079422"/>
      <w:bookmarkEnd w:id="4"/>
      <w:r w:rsidRPr="00280A2E">
        <w:t>Competency Field</w:t>
      </w:r>
    </w:p>
    <w:tbl>
      <w:tblPr>
        <w:tblW w:w="9497" w:type="dxa"/>
        <w:tblLayout w:type="fixed"/>
        <w:tblCellMar>
          <w:left w:w="62" w:type="dxa"/>
          <w:right w:w="62" w:type="dxa"/>
        </w:tblCellMar>
        <w:tblLook w:val="0000"/>
      </w:tblPr>
      <w:tblGrid>
        <w:gridCol w:w="9497"/>
      </w:tblGrid>
      <w:tr w:rsidTr="00280A2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80A2E" w:rsidP="00280A2E">
            <w:pPr>
              <w:pStyle w:val="BodyText"/>
            </w:pPr>
            <w:r w:rsidRPr="00280A2E">
              <w:t>Refrigeration and air-conditioning</w:t>
            </w:r>
          </w:p>
        </w:tc>
      </w:tr>
    </w:tbl>
    <w:p w:rsidR="00000000" w:rsidRPr="00280A2E" w:rsidP="00280A2E">
      <w:pPr>
        <w:pStyle w:val="NoPaddingFontSize1"/>
      </w:pPr>
    </w:p>
    <w:p w:rsidR="00000000" w:rsidRPr="00280A2E" w:rsidP="00280A2E">
      <w:pPr>
        <w:pStyle w:val="AllowPageBreak"/>
      </w:pPr>
    </w:p>
    <w:p w:rsidR="00000000" w:rsidRPr="00280A2E" w:rsidP="00280A2E">
      <w:pPr>
        <w:pStyle w:val="Heading1"/>
      </w:pPr>
      <w:bookmarkStart w:id="5" w:name="O_1079423"/>
      <w:bookmarkEnd w:id="5"/>
      <w:r w:rsidRPr="00280A2E">
        <w:t>Unit Sector</w:t>
      </w:r>
    </w:p>
    <w:tbl>
      <w:tblPr>
        <w:tblW w:w="9497" w:type="dxa"/>
        <w:tblLayout w:type="fixed"/>
        <w:tblCellMar>
          <w:left w:w="62" w:type="dxa"/>
          <w:right w:w="62" w:type="dxa"/>
        </w:tblCellMar>
        <w:tblLook w:val="0000"/>
      </w:tblPr>
      <w:tblGrid>
        <w:gridCol w:w="9497"/>
      </w:tblGrid>
      <w:tr w:rsidTr="00280A2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80A2E" w:rsidP="00280A2E">
            <w:pPr>
              <w:pStyle w:val="BodyText"/>
            </w:pPr>
            <w:r w:rsidRPr="00280A2E">
              <w:t>Electrotechnology</w:t>
            </w:r>
          </w:p>
        </w:tc>
      </w:tr>
    </w:tbl>
    <w:p w:rsidR="00000000" w:rsidRPr="00280A2E" w:rsidP="00280A2E">
      <w:pPr>
        <w:pStyle w:val="NoPaddingFontSize1"/>
      </w:pPr>
    </w:p>
    <w:p w:rsidR="00000000" w:rsidRPr="00280A2E" w:rsidP="00280A2E">
      <w:pPr>
        <w:pStyle w:val="AllowPageBreak"/>
      </w:pPr>
    </w:p>
    <w:p w:rsidR="00000000" w:rsidRPr="00280A2E" w:rsidP="00280A2E">
      <w:pPr>
        <w:pStyle w:val="Heading1"/>
      </w:pPr>
      <w:bookmarkStart w:id="6" w:name="O_1079424"/>
      <w:bookmarkEnd w:id="6"/>
      <w:r w:rsidRPr="00280A2E">
        <w:t>Elements and Performance Criteria</w:t>
      </w:r>
    </w:p>
    <w:tbl>
      <w:tblPr>
        <w:tblW w:w="9498" w:type="dxa"/>
        <w:tblLayout w:type="fixed"/>
        <w:tblCellMar>
          <w:left w:w="62" w:type="dxa"/>
          <w:right w:w="62" w:type="dxa"/>
        </w:tblCellMar>
        <w:tblLook w:val="0000"/>
      </w:tblPr>
      <w:tblGrid>
        <w:gridCol w:w="339"/>
        <w:gridCol w:w="2870"/>
        <w:gridCol w:w="697"/>
        <w:gridCol w:w="5592"/>
      </w:tblGrid>
      <w:tr w:rsidTr="00280A2E">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RPr="00280A2E" w:rsidP="00280A2E">
            <w:pPr>
              <w:pStyle w:val="BodyText"/>
            </w:pPr>
            <w:r w:rsidRPr="00280A2E">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280A2E">
            <w:pPr>
              <w:pStyle w:val="BodyText"/>
              <w:rPr>
                <w:lang w:val="en-NZ"/>
              </w:rPr>
            </w:pPr>
            <w:r w:rsidRPr="00280A2E">
              <w:rPr>
                <w:rStyle w:val="SpecialBold"/>
              </w:rPr>
              <w:t>PERFORMANCE CRITERIA</w:t>
            </w:r>
          </w:p>
        </w:tc>
      </w:tr>
      <w:tr w:rsidTr="00280A2E">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P="00280A2E">
            <w:pPr>
              <w:pStyle w:val="BodyText"/>
              <w:rPr>
                <w:lang w:val="en-NZ"/>
              </w:rPr>
            </w:pPr>
            <w:r w:rsidRPr="00280A2E">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280A2E">
            <w:pPr>
              <w:pStyle w:val="BodyText"/>
              <w:rPr>
                <w:lang w:val="en-NZ"/>
              </w:rPr>
            </w:pPr>
            <w:r w:rsidRPr="00280A2E">
              <w:t>Performance criteria describe the performance needed to demonstrate achievement of the element.</w:t>
            </w:r>
          </w:p>
        </w:tc>
      </w:tr>
      <w:tr w:rsidTr="00280A2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280A2E" w:rsidP="00280A2E">
            <w:pPr>
              <w:pStyle w:val="BodyText"/>
            </w:pPr>
            <w:r w:rsidRPr="00280A2E">
              <w:rPr>
                <w:rStyle w:val="SpecialBold"/>
              </w:rPr>
              <w:t xml:space="preserve">1 </w:t>
            </w:r>
          </w:p>
        </w:tc>
        <w:tc>
          <w:tcPr>
            <w:tcW w:w="2870" w:type="dxa"/>
            <w:tcBorders>
              <w:top w:val="nil"/>
              <w:left w:val="nil"/>
              <w:bottom w:val="nil"/>
              <w:right w:val="nil"/>
            </w:tcBorders>
            <w:tcMar>
              <w:top w:w="0" w:type="dxa"/>
              <w:left w:w="62" w:type="dxa"/>
              <w:bottom w:w="0" w:type="dxa"/>
              <w:right w:w="62" w:type="dxa"/>
            </w:tcMar>
          </w:tcPr>
          <w:p w:rsidR="00000000" w:rsidRPr="00280A2E" w:rsidP="00280A2E">
            <w:pPr>
              <w:pStyle w:val="BodyText"/>
            </w:pPr>
            <w:r w:rsidRPr="00280A2E">
              <w:rPr>
                <w:rStyle w:val="SpecialBold"/>
              </w:rPr>
              <w:t>Prepare to install and commission flammable refrigerant refrigeration and air conditioning systems</w:t>
            </w:r>
          </w:p>
        </w:tc>
        <w:tc>
          <w:tcPr>
            <w:tcW w:w="697" w:type="dxa"/>
            <w:tcBorders>
              <w:top w:val="nil"/>
              <w:left w:val="nil"/>
              <w:bottom w:val="nil"/>
              <w:right w:val="nil"/>
            </w:tcBorders>
            <w:tcMar>
              <w:top w:w="0" w:type="dxa"/>
              <w:left w:w="62" w:type="dxa"/>
              <w:bottom w:w="0" w:type="dxa"/>
              <w:right w:w="62" w:type="dxa"/>
            </w:tcMar>
          </w:tcPr>
          <w:p w:rsidR="00000000" w:rsidP="00280A2E">
            <w:pPr>
              <w:pStyle w:val="BodyText"/>
              <w:rPr>
                <w:lang w:val="en-NZ"/>
              </w:rPr>
            </w:pPr>
            <w:r w:rsidRPr="00280A2E">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280A2E">
            <w:pPr>
              <w:pStyle w:val="BodyText"/>
              <w:rPr>
                <w:lang w:val="en-NZ"/>
              </w:rPr>
            </w:pPr>
            <w:r w:rsidRPr="00280A2E">
              <w:t>WHS/OHS hazards, risk control methods, relevant stan</w:t>
            </w:r>
            <w:r w:rsidRPr="00280A2E">
              <w:t>dards, codes and legislation are obtained and applied</w:t>
            </w:r>
          </w:p>
        </w:tc>
      </w:tr>
      <w:tr w:rsidTr="00280A2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280A2E">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280A2E">
            <w:pPr>
              <w:pStyle w:val="BodyText"/>
              <w:rPr>
                <w:lang w:val="en-NZ"/>
              </w:rPr>
            </w:pPr>
            <w:r w:rsidRPr="00280A2E">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280A2E">
            <w:pPr>
              <w:pStyle w:val="BodyText"/>
              <w:rPr>
                <w:lang w:val="en-NZ"/>
              </w:rPr>
            </w:pPr>
            <w:r w:rsidRPr="00280A2E">
              <w:t>Safety hazards not previously identified are noted and risk control measures implemented</w:t>
            </w:r>
          </w:p>
        </w:tc>
      </w:tr>
      <w:tr w:rsidTr="00280A2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280A2E">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280A2E">
            <w:pPr>
              <w:pStyle w:val="BodyText"/>
              <w:rPr>
                <w:lang w:val="en-NZ"/>
              </w:rPr>
            </w:pPr>
            <w:r w:rsidRPr="00280A2E">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280A2E">
            <w:pPr>
              <w:pStyle w:val="BodyText"/>
              <w:rPr>
                <w:lang w:val="en-NZ"/>
              </w:rPr>
            </w:pPr>
            <w:r w:rsidRPr="00280A2E">
              <w:t>Scope of work is determined from documentation and/or relev</w:t>
            </w:r>
            <w:r w:rsidRPr="00280A2E">
              <w:t>ant person/s to establish work to be undertaken</w:t>
            </w:r>
          </w:p>
        </w:tc>
      </w:tr>
      <w:tr w:rsidTr="00280A2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280A2E">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280A2E">
            <w:pPr>
              <w:pStyle w:val="BodyText"/>
              <w:rPr>
                <w:lang w:val="en-NZ"/>
              </w:rPr>
            </w:pPr>
            <w:r w:rsidRPr="00280A2E">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280A2E">
            <w:pPr>
              <w:pStyle w:val="BodyText"/>
              <w:rPr>
                <w:lang w:val="en-NZ"/>
              </w:rPr>
            </w:pPr>
            <w:r w:rsidRPr="00280A2E">
              <w:t>Component, equipment installation and commissioning work are sequenced in accordance with job schedule</w:t>
            </w:r>
          </w:p>
        </w:tc>
      </w:tr>
      <w:tr w:rsidTr="00280A2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280A2E">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280A2E">
            <w:pPr>
              <w:pStyle w:val="BodyText"/>
              <w:rPr>
                <w:lang w:val="en-NZ"/>
              </w:rPr>
            </w:pPr>
            <w:r w:rsidRPr="00280A2E">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280A2E">
            <w:pPr>
              <w:pStyle w:val="BodyText"/>
              <w:rPr>
                <w:lang w:val="en-NZ"/>
              </w:rPr>
            </w:pPr>
            <w:r w:rsidRPr="00280A2E">
              <w:t>Relevant person/s is consulted to ensure the work is coordinated with others involved</w:t>
            </w:r>
          </w:p>
        </w:tc>
      </w:tr>
      <w:tr w:rsidTr="00280A2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280A2E">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280A2E">
            <w:pPr>
              <w:pStyle w:val="BodyText"/>
              <w:rPr>
                <w:lang w:val="en-NZ"/>
              </w:rPr>
            </w:pPr>
            <w:r w:rsidRPr="00280A2E">
              <w:rPr>
                <w:rStyle w:val="SpecialBold"/>
              </w:rPr>
              <w:t>1.</w:t>
            </w:r>
            <w:r w:rsidRPr="00280A2E">
              <w:rPr>
                <w:rStyle w:val="SpecialBold"/>
              </w:rPr>
              <w:t>6</w:t>
            </w:r>
          </w:p>
        </w:tc>
        <w:tc>
          <w:tcPr>
            <w:tcW w:w="5592" w:type="dxa"/>
            <w:tcBorders>
              <w:top w:val="nil"/>
              <w:left w:val="nil"/>
              <w:bottom w:val="nil"/>
              <w:right w:val="nil"/>
            </w:tcBorders>
            <w:tcMar>
              <w:top w:w="0" w:type="dxa"/>
              <w:left w:w="62" w:type="dxa"/>
              <w:bottom w:w="0" w:type="dxa"/>
              <w:right w:w="62" w:type="dxa"/>
            </w:tcMar>
          </w:tcPr>
          <w:p w:rsidR="00000000" w:rsidP="00280A2E">
            <w:pPr>
              <w:pStyle w:val="BodyText"/>
              <w:rPr>
                <w:lang w:val="en-NZ"/>
              </w:rPr>
            </w:pPr>
            <w:r w:rsidRPr="00280A2E">
              <w:t>Materials required to install pipe work are obtained in accordance with workplace procedures and job specifications</w:t>
            </w:r>
          </w:p>
        </w:tc>
      </w:tr>
      <w:tr w:rsidTr="00280A2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280A2E">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280A2E">
            <w:pPr>
              <w:pStyle w:val="BodyText"/>
              <w:rPr>
                <w:lang w:val="en-NZ"/>
              </w:rPr>
            </w:pPr>
            <w:r w:rsidRPr="00280A2E">
              <w:rPr>
                <w:rStyle w:val="SpecialBold"/>
              </w:rPr>
              <w:t>1.7</w:t>
            </w:r>
          </w:p>
        </w:tc>
        <w:tc>
          <w:tcPr>
            <w:tcW w:w="5592" w:type="dxa"/>
            <w:tcBorders>
              <w:top w:val="nil"/>
              <w:left w:val="nil"/>
              <w:bottom w:val="nil"/>
              <w:right w:val="nil"/>
            </w:tcBorders>
            <w:tcMar>
              <w:top w:w="0" w:type="dxa"/>
              <w:left w:w="62" w:type="dxa"/>
              <w:bottom w:w="0" w:type="dxa"/>
              <w:right w:w="62" w:type="dxa"/>
            </w:tcMar>
          </w:tcPr>
          <w:p w:rsidR="00000000" w:rsidP="00280A2E">
            <w:pPr>
              <w:pStyle w:val="BodyText"/>
              <w:rPr>
                <w:lang w:val="en-NZ"/>
              </w:rPr>
            </w:pPr>
            <w:r w:rsidRPr="00280A2E">
              <w:t>Tools, equipment and testing devices required to install and commission components and equipment are obtained in accordance with workplace procedures and checked for correct operation and safety</w:t>
            </w:r>
          </w:p>
        </w:tc>
      </w:tr>
      <w:tr w:rsidTr="00280A2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280A2E">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280A2E">
            <w:pPr>
              <w:pStyle w:val="BodyText"/>
              <w:rPr>
                <w:lang w:val="en-NZ"/>
              </w:rPr>
            </w:pPr>
            <w:r w:rsidRPr="00280A2E">
              <w:rPr>
                <w:rStyle w:val="SpecialBold"/>
              </w:rPr>
              <w:t>1.8</w:t>
            </w:r>
          </w:p>
        </w:tc>
        <w:tc>
          <w:tcPr>
            <w:tcW w:w="5592" w:type="dxa"/>
            <w:tcBorders>
              <w:top w:val="nil"/>
              <w:left w:val="nil"/>
              <w:bottom w:val="nil"/>
              <w:right w:val="nil"/>
            </w:tcBorders>
            <w:tcMar>
              <w:top w:w="0" w:type="dxa"/>
              <w:left w:w="62" w:type="dxa"/>
              <w:bottom w:w="0" w:type="dxa"/>
              <w:right w:w="62" w:type="dxa"/>
            </w:tcMar>
          </w:tcPr>
          <w:p w:rsidR="00000000" w:rsidP="00280A2E">
            <w:pPr>
              <w:pStyle w:val="BodyText"/>
              <w:rPr>
                <w:lang w:val="en-NZ"/>
              </w:rPr>
            </w:pPr>
            <w:r w:rsidRPr="00280A2E">
              <w:t>System control settings and operating parameters are d</w:t>
            </w:r>
            <w:r w:rsidRPr="00280A2E">
              <w:t>etermined from job specifications</w:t>
            </w:r>
          </w:p>
        </w:tc>
      </w:tr>
      <w:tr w:rsidTr="00280A2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280A2E">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280A2E">
            <w:pPr>
              <w:pStyle w:val="BodyText"/>
              <w:rPr>
                <w:lang w:val="en-NZ"/>
              </w:rPr>
            </w:pPr>
            <w:r w:rsidRPr="00280A2E">
              <w:rPr>
                <w:rStyle w:val="SpecialBold"/>
              </w:rPr>
              <w:t>1.9</w:t>
            </w:r>
          </w:p>
        </w:tc>
        <w:tc>
          <w:tcPr>
            <w:tcW w:w="5592" w:type="dxa"/>
            <w:tcBorders>
              <w:top w:val="nil"/>
              <w:left w:val="nil"/>
              <w:bottom w:val="nil"/>
              <w:right w:val="nil"/>
            </w:tcBorders>
            <w:tcMar>
              <w:top w:w="0" w:type="dxa"/>
              <w:left w:w="62" w:type="dxa"/>
              <w:bottom w:w="0" w:type="dxa"/>
              <w:right w:w="62" w:type="dxa"/>
            </w:tcMar>
          </w:tcPr>
          <w:p w:rsidR="00000000" w:rsidP="00280A2E">
            <w:pPr>
              <w:pStyle w:val="BodyText"/>
              <w:rPr>
                <w:lang w:val="en-NZ"/>
              </w:rPr>
            </w:pPr>
            <w:r w:rsidRPr="00280A2E">
              <w:t>Preparatory work is scheduled to ensure no damage has occurred in accordance with workplace procedures and relevant industry standards</w:t>
            </w:r>
          </w:p>
        </w:tc>
      </w:tr>
      <w:tr w:rsidTr="00280A2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280A2E" w:rsidP="00280A2E">
            <w:pPr>
              <w:pStyle w:val="BodyText"/>
            </w:pPr>
            <w:r w:rsidRPr="00280A2E">
              <w:rPr>
                <w:rStyle w:val="SpecialBold"/>
              </w:rPr>
              <w:t>2</w:t>
            </w:r>
          </w:p>
        </w:tc>
        <w:tc>
          <w:tcPr>
            <w:tcW w:w="2870" w:type="dxa"/>
            <w:tcBorders>
              <w:top w:val="nil"/>
              <w:left w:val="nil"/>
              <w:bottom w:val="nil"/>
              <w:right w:val="nil"/>
            </w:tcBorders>
            <w:tcMar>
              <w:top w:w="0" w:type="dxa"/>
              <w:left w:w="62" w:type="dxa"/>
              <w:bottom w:w="0" w:type="dxa"/>
              <w:right w:w="62" w:type="dxa"/>
            </w:tcMar>
          </w:tcPr>
          <w:p w:rsidR="00000000" w:rsidRPr="00280A2E" w:rsidP="00280A2E">
            <w:pPr>
              <w:pStyle w:val="BodyText"/>
            </w:pPr>
            <w:r w:rsidRPr="00280A2E">
              <w:rPr>
                <w:rStyle w:val="SpecialBold"/>
              </w:rPr>
              <w:t>Install flammable refrigerant refrigeration and air conditioning systems</w:t>
            </w:r>
          </w:p>
        </w:tc>
        <w:tc>
          <w:tcPr>
            <w:tcW w:w="697" w:type="dxa"/>
            <w:tcBorders>
              <w:top w:val="nil"/>
              <w:left w:val="nil"/>
              <w:bottom w:val="nil"/>
              <w:right w:val="nil"/>
            </w:tcBorders>
            <w:tcMar>
              <w:top w:w="0" w:type="dxa"/>
              <w:left w:w="62" w:type="dxa"/>
              <w:bottom w:w="0" w:type="dxa"/>
              <w:right w:w="62" w:type="dxa"/>
            </w:tcMar>
          </w:tcPr>
          <w:p w:rsidR="00000000" w:rsidP="00280A2E">
            <w:pPr>
              <w:pStyle w:val="BodyText"/>
              <w:rPr>
                <w:lang w:val="en-NZ"/>
              </w:rPr>
            </w:pPr>
            <w:r w:rsidRPr="00280A2E">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280A2E">
            <w:pPr>
              <w:pStyle w:val="BodyText"/>
              <w:rPr>
                <w:lang w:val="en-NZ"/>
              </w:rPr>
            </w:pPr>
            <w:r w:rsidRPr="00280A2E">
              <w:t>Circuits/machines/plant are checked and isolated in accordance with WHS/OHS requirements and workplace procedures</w:t>
            </w:r>
          </w:p>
        </w:tc>
      </w:tr>
      <w:tr w:rsidTr="00280A2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280A2E">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280A2E">
            <w:pPr>
              <w:pStyle w:val="BodyText"/>
              <w:rPr>
                <w:lang w:val="en-NZ"/>
              </w:rPr>
            </w:pPr>
            <w:r w:rsidRPr="00280A2E">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280A2E">
            <w:pPr>
              <w:pStyle w:val="BodyText"/>
              <w:rPr>
                <w:lang w:val="en-NZ"/>
              </w:rPr>
            </w:pPr>
            <w:r w:rsidRPr="00280A2E">
              <w:t>Components and equipment are installed with sufficient access to affect electrical and pipe work connections and maintenance in accorda</w:t>
            </w:r>
            <w:r w:rsidRPr="00280A2E">
              <w:t>nce with relevant legislation, standards and code requirements, manufacturer instructions, job specifications and workplace procedures</w:t>
            </w:r>
          </w:p>
        </w:tc>
      </w:tr>
      <w:tr w:rsidTr="00280A2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280A2E">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280A2E">
            <w:pPr>
              <w:pStyle w:val="BodyText"/>
              <w:rPr>
                <w:lang w:val="en-NZ"/>
              </w:rPr>
            </w:pPr>
            <w:r w:rsidRPr="00280A2E">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280A2E">
            <w:pPr>
              <w:pStyle w:val="BodyText"/>
              <w:rPr>
                <w:lang w:val="en-NZ"/>
              </w:rPr>
            </w:pPr>
            <w:r w:rsidRPr="00280A2E">
              <w:t>Components and equipment are installed in the required locations and within acceptable tolerances in accordance with relevant legislation, standards and code requirements, manufacturer instructions, job specifications and workplace procedures</w:t>
            </w:r>
          </w:p>
        </w:tc>
      </w:tr>
      <w:tr w:rsidTr="00280A2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280A2E">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280A2E">
            <w:pPr>
              <w:pStyle w:val="BodyText"/>
              <w:rPr>
                <w:lang w:val="en-NZ"/>
              </w:rPr>
            </w:pPr>
            <w:r w:rsidRPr="00280A2E">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280A2E">
            <w:pPr>
              <w:pStyle w:val="BodyText"/>
              <w:rPr>
                <w:lang w:val="en-NZ"/>
              </w:rPr>
            </w:pPr>
            <w:r w:rsidRPr="00280A2E">
              <w:t>Refrig</w:t>
            </w:r>
            <w:r w:rsidRPr="00280A2E">
              <w:t>erant tubing and fittings are silver brazed with dry nitrogen to prevent contamination in accordance with relevant legislation, standards and code requirements, manufacturer instructions, job specifications and workplace procedures</w:t>
            </w:r>
          </w:p>
        </w:tc>
      </w:tr>
      <w:tr w:rsidTr="00280A2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280A2E">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280A2E">
            <w:pPr>
              <w:pStyle w:val="BodyText"/>
              <w:rPr>
                <w:lang w:val="en-NZ"/>
              </w:rPr>
            </w:pPr>
            <w:r w:rsidRPr="00280A2E">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280A2E">
            <w:pPr>
              <w:pStyle w:val="BodyText"/>
              <w:rPr>
                <w:lang w:val="en-NZ"/>
              </w:rPr>
            </w:pPr>
            <w:r w:rsidRPr="00280A2E">
              <w:t>Unplanned situati</w:t>
            </w:r>
            <w:r w:rsidRPr="00280A2E">
              <w:t>ons from installation of components and equipment are dealt with in accordance with workplace procedures</w:t>
            </w:r>
          </w:p>
        </w:tc>
      </w:tr>
      <w:tr w:rsidTr="00280A2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280A2E">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280A2E">
            <w:pPr>
              <w:pStyle w:val="BodyText"/>
              <w:rPr>
                <w:lang w:val="en-NZ"/>
              </w:rPr>
            </w:pPr>
            <w:r w:rsidRPr="00280A2E">
              <w:rPr>
                <w:rStyle w:val="SpecialBold"/>
              </w:rPr>
              <w:t>2.6</w:t>
            </w:r>
          </w:p>
        </w:tc>
        <w:tc>
          <w:tcPr>
            <w:tcW w:w="5592" w:type="dxa"/>
            <w:tcBorders>
              <w:top w:val="nil"/>
              <w:left w:val="nil"/>
              <w:bottom w:val="nil"/>
              <w:right w:val="nil"/>
            </w:tcBorders>
            <w:tcMar>
              <w:top w:w="0" w:type="dxa"/>
              <w:left w:w="62" w:type="dxa"/>
              <w:bottom w:w="0" w:type="dxa"/>
              <w:right w:w="62" w:type="dxa"/>
            </w:tcMar>
          </w:tcPr>
          <w:p w:rsidR="00000000" w:rsidP="00280A2E">
            <w:pPr>
              <w:pStyle w:val="BodyText"/>
              <w:rPr>
                <w:lang w:val="en-NZ"/>
              </w:rPr>
            </w:pPr>
            <w:r w:rsidRPr="00280A2E">
              <w:t>Quality checks of pipe work, pressure testing and repair of leaks are conducted in accordance with relevant legislation, standard and code requi</w:t>
            </w:r>
            <w:r w:rsidRPr="00280A2E">
              <w:t>rements, manufacturer instructions, job specifications and workplace procedures</w:t>
            </w:r>
          </w:p>
        </w:tc>
      </w:tr>
      <w:tr w:rsidTr="00280A2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280A2E">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280A2E">
            <w:pPr>
              <w:pStyle w:val="BodyText"/>
              <w:rPr>
                <w:lang w:val="en-NZ"/>
              </w:rPr>
            </w:pPr>
            <w:r w:rsidRPr="00280A2E">
              <w:rPr>
                <w:rStyle w:val="SpecialBold"/>
              </w:rPr>
              <w:t>2.7</w:t>
            </w:r>
          </w:p>
        </w:tc>
        <w:tc>
          <w:tcPr>
            <w:tcW w:w="5592" w:type="dxa"/>
            <w:tcBorders>
              <w:top w:val="nil"/>
              <w:left w:val="nil"/>
              <w:bottom w:val="nil"/>
              <w:right w:val="nil"/>
            </w:tcBorders>
            <w:tcMar>
              <w:top w:w="0" w:type="dxa"/>
              <w:left w:w="62" w:type="dxa"/>
              <w:bottom w:w="0" w:type="dxa"/>
              <w:right w:w="62" w:type="dxa"/>
            </w:tcMar>
          </w:tcPr>
          <w:p w:rsidR="00000000" w:rsidP="00280A2E">
            <w:pPr>
              <w:pStyle w:val="BodyText"/>
              <w:rPr>
                <w:lang w:val="en-NZ"/>
              </w:rPr>
            </w:pPr>
            <w:r w:rsidRPr="00280A2E">
              <w:t xml:space="preserve">Components and equipment are installed efficiently without waste of materials or damage/contamination to apparatus, the surrounding environment </w:t>
            </w:r>
            <w:r w:rsidRPr="00280A2E">
              <w:t>or services using sustainable energy practices</w:t>
            </w:r>
          </w:p>
        </w:tc>
      </w:tr>
      <w:tr w:rsidTr="00280A2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280A2E" w:rsidP="00280A2E">
            <w:pPr>
              <w:pStyle w:val="BodyText"/>
            </w:pPr>
            <w:r w:rsidRPr="00280A2E">
              <w:rPr>
                <w:rStyle w:val="SpecialBold"/>
              </w:rPr>
              <w:t>3</w:t>
            </w:r>
          </w:p>
        </w:tc>
        <w:tc>
          <w:tcPr>
            <w:tcW w:w="2870" w:type="dxa"/>
            <w:tcBorders>
              <w:top w:val="nil"/>
              <w:left w:val="nil"/>
              <w:bottom w:val="nil"/>
              <w:right w:val="nil"/>
            </w:tcBorders>
            <w:tcMar>
              <w:top w:w="0" w:type="dxa"/>
              <w:left w:w="62" w:type="dxa"/>
              <w:bottom w:w="0" w:type="dxa"/>
              <w:right w:w="62" w:type="dxa"/>
            </w:tcMar>
          </w:tcPr>
          <w:p w:rsidR="00000000" w:rsidRPr="00280A2E" w:rsidP="00280A2E">
            <w:pPr>
              <w:pStyle w:val="BodyText"/>
            </w:pPr>
            <w:r w:rsidRPr="00280A2E">
              <w:rPr>
                <w:rStyle w:val="SpecialBold"/>
              </w:rPr>
              <w:t>Commission flammable refrigerant refrigeration and air conditioning systems</w:t>
            </w:r>
          </w:p>
        </w:tc>
        <w:tc>
          <w:tcPr>
            <w:tcW w:w="697" w:type="dxa"/>
            <w:tcBorders>
              <w:top w:val="nil"/>
              <w:left w:val="nil"/>
              <w:bottom w:val="nil"/>
              <w:right w:val="nil"/>
            </w:tcBorders>
            <w:tcMar>
              <w:top w:w="0" w:type="dxa"/>
              <w:left w:w="62" w:type="dxa"/>
              <w:bottom w:w="0" w:type="dxa"/>
              <w:right w:w="62" w:type="dxa"/>
            </w:tcMar>
          </w:tcPr>
          <w:p w:rsidR="00000000" w:rsidP="00280A2E">
            <w:pPr>
              <w:pStyle w:val="BodyText"/>
              <w:rPr>
                <w:lang w:val="en-NZ"/>
              </w:rPr>
            </w:pPr>
            <w:r w:rsidRPr="00280A2E">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280A2E">
            <w:pPr>
              <w:pStyle w:val="BodyText"/>
              <w:rPr>
                <w:lang w:val="en-NZ"/>
              </w:rPr>
            </w:pPr>
            <w:r w:rsidRPr="00280A2E">
              <w:t>Installed system’s pipe work and components are evacuated to the required level in accordance with relevant legislation, stand</w:t>
            </w:r>
            <w:r w:rsidRPr="00280A2E">
              <w:t>ards and code requirements and manufacturer instruction</w:t>
            </w:r>
          </w:p>
        </w:tc>
      </w:tr>
      <w:tr w:rsidTr="00280A2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280A2E">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280A2E">
            <w:pPr>
              <w:pStyle w:val="BodyText"/>
              <w:rPr>
                <w:lang w:val="en-NZ"/>
              </w:rPr>
            </w:pPr>
            <w:r w:rsidRPr="00280A2E">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280A2E">
            <w:pPr>
              <w:pStyle w:val="BodyText"/>
              <w:rPr>
                <w:lang w:val="en-NZ"/>
              </w:rPr>
            </w:pPr>
            <w:r w:rsidRPr="00280A2E">
              <w:t>System is charged with flammable refrigerant to the required level in accordance with relevant legislation, standard and code requirements, manufacturer instructions and job specification</w:t>
            </w:r>
          </w:p>
        </w:tc>
      </w:tr>
      <w:tr w:rsidTr="00280A2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280A2E">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280A2E">
            <w:pPr>
              <w:pStyle w:val="BodyText"/>
              <w:rPr>
                <w:lang w:val="en-NZ"/>
              </w:rPr>
            </w:pPr>
            <w:r w:rsidRPr="00280A2E">
              <w:rPr>
                <w:rStyle w:val="SpecialBold"/>
              </w:rPr>
              <w:t>3.</w:t>
            </w:r>
            <w:r w:rsidRPr="00280A2E">
              <w:rPr>
                <w:rStyle w:val="SpecialBold"/>
              </w:rPr>
              <w:t>3</w:t>
            </w:r>
          </w:p>
        </w:tc>
        <w:tc>
          <w:tcPr>
            <w:tcW w:w="5592" w:type="dxa"/>
            <w:tcBorders>
              <w:top w:val="nil"/>
              <w:left w:val="nil"/>
              <w:bottom w:val="nil"/>
              <w:right w:val="nil"/>
            </w:tcBorders>
            <w:tcMar>
              <w:top w:w="0" w:type="dxa"/>
              <w:left w:w="62" w:type="dxa"/>
              <w:bottom w:w="0" w:type="dxa"/>
              <w:right w:w="62" w:type="dxa"/>
            </w:tcMar>
          </w:tcPr>
          <w:p w:rsidR="00000000" w:rsidP="00280A2E">
            <w:pPr>
              <w:pStyle w:val="BodyText"/>
              <w:rPr>
                <w:lang w:val="en-NZ"/>
              </w:rPr>
            </w:pPr>
            <w:r w:rsidRPr="00280A2E">
              <w:t>Refrigeration system pressure controls, valves and regulators are adjusted in accordance with relevant legislation, standard and code requirements, manufacturer instructions, job specifications and workplace procedures</w:t>
            </w:r>
          </w:p>
        </w:tc>
      </w:tr>
      <w:tr w:rsidTr="00280A2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280A2E">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280A2E">
            <w:pPr>
              <w:pStyle w:val="BodyText"/>
              <w:rPr>
                <w:lang w:val="en-NZ"/>
              </w:rPr>
            </w:pPr>
            <w:r w:rsidRPr="00280A2E">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P="00280A2E">
            <w:pPr>
              <w:pStyle w:val="BodyText"/>
              <w:rPr>
                <w:lang w:val="en-NZ"/>
              </w:rPr>
            </w:pPr>
            <w:r w:rsidRPr="00280A2E">
              <w:t>T</w:t>
            </w:r>
            <w:r w:rsidRPr="00280A2E">
              <w:t>esting/measuring devices are used to observe operation of the refrigeration system and fine adjustments of controls made, as required, in accordance with relevant legislation, standard and code requirements, manufacturer instructions, job specifications an</w:t>
            </w:r>
            <w:r w:rsidRPr="00280A2E">
              <w:t>d workplace procedures</w:t>
            </w:r>
          </w:p>
        </w:tc>
      </w:tr>
      <w:tr w:rsidTr="00280A2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280A2E">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280A2E">
            <w:pPr>
              <w:pStyle w:val="BodyText"/>
              <w:rPr>
                <w:lang w:val="en-NZ"/>
              </w:rPr>
            </w:pPr>
            <w:r w:rsidRPr="00280A2E">
              <w:rPr>
                <w:rStyle w:val="SpecialBold"/>
              </w:rPr>
              <w:t>3.5</w:t>
            </w:r>
          </w:p>
        </w:tc>
        <w:tc>
          <w:tcPr>
            <w:tcW w:w="5592" w:type="dxa"/>
            <w:tcBorders>
              <w:top w:val="nil"/>
              <w:left w:val="nil"/>
              <w:bottom w:val="nil"/>
              <w:right w:val="nil"/>
            </w:tcBorders>
            <w:tcMar>
              <w:top w:w="0" w:type="dxa"/>
              <w:left w:w="62" w:type="dxa"/>
              <w:bottom w:w="0" w:type="dxa"/>
              <w:right w:w="62" w:type="dxa"/>
            </w:tcMar>
          </w:tcPr>
          <w:p w:rsidR="00000000" w:rsidP="00280A2E">
            <w:pPr>
              <w:pStyle w:val="BodyText"/>
              <w:rPr>
                <w:lang w:val="en-NZ"/>
              </w:rPr>
            </w:pPr>
            <w:r w:rsidRPr="00280A2E">
              <w:t>Unplanned situations are dealt with safely and with the approval of relevant person/s</w:t>
            </w:r>
          </w:p>
        </w:tc>
      </w:tr>
      <w:tr w:rsidTr="00280A2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280A2E">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280A2E">
            <w:pPr>
              <w:pStyle w:val="BodyText"/>
              <w:rPr>
                <w:lang w:val="en-NZ"/>
              </w:rPr>
            </w:pPr>
            <w:r w:rsidRPr="00280A2E">
              <w:rPr>
                <w:rStyle w:val="SpecialBold"/>
              </w:rPr>
              <w:t>3.6</w:t>
            </w:r>
          </w:p>
        </w:tc>
        <w:tc>
          <w:tcPr>
            <w:tcW w:w="5592" w:type="dxa"/>
            <w:tcBorders>
              <w:top w:val="nil"/>
              <w:left w:val="nil"/>
              <w:bottom w:val="nil"/>
              <w:right w:val="nil"/>
            </w:tcBorders>
            <w:tcMar>
              <w:top w:w="0" w:type="dxa"/>
              <w:left w:w="62" w:type="dxa"/>
              <w:bottom w:w="0" w:type="dxa"/>
              <w:right w:w="62" w:type="dxa"/>
            </w:tcMar>
          </w:tcPr>
          <w:p w:rsidR="00000000" w:rsidP="00280A2E">
            <w:pPr>
              <w:pStyle w:val="BodyText"/>
              <w:rPr>
                <w:lang w:val="en-NZ"/>
              </w:rPr>
            </w:pPr>
            <w:r w:rsidRPr="00280A2E">
              <w:t>Commissioning is conducted efficiently without waste of materials or damage to apparatus, the surrounding environment or services usi</w:t>
            </w:r>
            <w:r w:rsidRPr="00280A2E">
              <w:t>ng sustainable energy practices</w:t>
            </w:r>
          </w:p>
        </w:tc>
      </w:tr>
      <w:tr w:rsidTr="00280A2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280A2E" w:rsidP="00280A2E">
            <w:pPr>
              <w:pStyle w:val="BodyText"/>
            </w:pPr>
            <w:r w:rsidRPr="00280A2E">
              <w:rPr>
                <w:rStyle w:val="SpecialBold"/>
              </w:rPr>
              <w:t>4</w:t>
            </w:r>
          </w:p>
        </w:tc>
        <w:tc>
          <w:tcPr>
            <w:tcW w:w="2870" w:type="dxa"/>
            <w:tcBorders>
              <w:top w:val="nil"/>
              <w:left w:val="nil"/>
              <w:bottom w:val="nil"/>
              <w:right w:val="nil"/>
            </w:tcBorders>
            <w:tcMar>
              <w:top w:w="0" w:type="dxa"/>
              <w:left w:w="62" w:type="dxa"/>
              <w:bottom w:w="0" w:type="dxa"/>
              <w:right w:w="62" w:type="dxa"/>
            </w:tcMar>
          </w:tcPr>
          <w:p w:rsidR="00000000" w:rsidRPr="00280A2E" w:rsidP="00280A2E">
            <w:pPr>
              <w:pStyle w:val="BodyText"/>
            </w:pPr>
            <w:r w:rsidRPr="00280A2E">
              <w:rPr>
                <w:rStyle w:val="SpecialBold"/>
              </w:rPr>
              <w:t>Complete installation and commissioning work</w:t>
            </w:r>
          </w:p>
        </w:tc>
        <w:tc>
          <w:tcPr>
            <w:tcW w:w="697" w:type="dxa"/>
            <w:tcBorders>
              <w:top w:val="nil"/>
              <w:left w:val="nil"/>
              <w:bottom w:val="nil"/>
              <w:right w:val="nil"/>
            </w:tcBorders>
            <w:tcMar>
              <w:top w:w="0" w:type="dxa"/>
              <w:left w:w="62" w:type="dxa"/>
              <w:bottom w:w="0" w:type="dxa"/>
              <w:right w:w="62" w:type="dxa"/>
            </w:tcMar>
          </w:tcPr>
          <w:p w:rsidR="00000000" w:rsidP="00280A2E">
            <w:pPr>
              <w:pStyle w:val="BodyText"/>
              <w:rPr>
                <w:lang w:val="en-NZ"/>
              </w:rPr>
            </w:pPr>
            <w:r w:rsidRPr="00280A2E">
              <w:rPr>
                <w:rStyle w:val="SpecialBold"/>
              </w:rPr>
              <w:t>4.1</w:t>
            </w:r>
          </w:p>
        </w:tc>
        <w:tc>
          <w:tcPr>
            <w:tcW w:w="5592" w:type="dxa"/>
            <w:tcBorders>
              <w:top w:val="nil"/>
              <w:left w:val="nil"/>
              <w:bottom w:val="nil"/>
              <w:right w:val="nil"/>
            </w:tcBorders>
            <w:tcMar>
              <w:top w:w="0" w:type="dxa"/>
              <w:left w:w="62" w:type="dxa"/>
              <w:bottom w:w="0" w:type="dxa"/>
              <w:right w:w="62" w:type="dxa"/>
            </w:tcMar>
          </w:tcPr>
          <w:p w:rsidR="00000000" w:rsidP="00280A2E">
            <w:pPr>
              <w:pStyle w:val="BodyText"/>
              <w:rPr>
                <w:lang w:val="en-NZ"/>
              </w:rPr>
            </w:pPr>
            <w:r w:rsidRPr="00280A2E">
              <w:t>Worksite is cleaned and made safe in accordance with workplace procedures</w:t>
            </w:r>
          </w:p>
        </w:tc>
      </w:tr>
      <w:tr w:rsidTr="00280A2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280A2E">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280A2E">
            <w:pPr>
              <w:pStyle w:val="BodyText"/>
              <w:rPr>
                <w:lang w:val="en-NZ"/>
              </w:rPr>
            </w:pPr>
            <w:r w:rsidRPr="00280A2E">
              <w:rPr>
                <w:rStyle w:val="SpecialBold"/>
              </w:rPr>
              <w:t>4.2</w:t>
            </w:r>
          </w:p>
        </w:tc>
        <w:tc>
          <w:tcPr>
            <w:tcW w:w="5592" w:type="dxa"/>
            <w:tcBorders>
              <w:top w:val="nil"/>
              <w:left w:val="nil"/>
              <w:bottom w:val="nil"/>
              <w:right w:val="nil"/>
            </w:tcBorders>
            <w:tcMar>
              <w:top w:w="0" w:type="dxa"/>
              <w:left w:w="62" w:type="dxa"/>
              <w:bottom w:w="0" w:type="dxa"/>
              <w:right w:w="62" w:type="dxa"/>
            </w:tcMar>
          </w:tcPr>
          <w:p w:rsidR="00000000" w:rsidP="00280A2E">
            <w:pPr>
              <w:pStyle w:val="BodyText"/>
              <w:rPr>
                <w:lang w:val="en-NZ"/>
              </w:rPr>
            </w:pPr>
            <w:r w:rsidRPr="00280A2E">
              <w:t>Final check of the installed components and equipment is made in accordance with relevant i</w:t>
            </w:r>
            <w:r w:rsidRPr="00280A2E">
              <w:t>ndustry standards and job specifications</w:t>
            </w:r>
          </w:p>
        </w:tc>
      </w:tr>
      <w:tr w:rsidTr="00280A2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280A2E">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280A2E">
            <w:pPr>
              <w:pStyle w:val="BodyText"/>
              <w:rPr>
                <w:lang w:val="en-NZ"/>
              </w:rPr>
            </w:pPr>
            <w:r w:rsidRPr="00280A2E">
              <w:rPr>
                <w:rStyle w:val="SpecialBold"/>
              </w:rPr>
              <w:t>4.3</w:t>
            </w:r>
          </w:p>
        </w:tc>
        <w:tc>
          <w:tcPr>
            <w:tcW w:w="5592" w:type="dxa"/>
            <w:tcBorders>
              <w:top w:val="nil"/>
              <w:left w:val="nil"/>
              <w:bottom w:val="nil"/>
              <w:right w:val="nil"/>
            </w:tcBorders>
            <w:tcMar>
              <w:top w:w="0" w:type="dxa"/>
              <w:left w:w="62" w:type="dxa"/>
              <w:bottom w:w="0" w:type="dxa"/>
              <w:right w:w="62" w:type="dxa"/>
            </w:tcMar>
          </w:tcPr>
          <w:p w:rsidR="00000000" w:rsidP="00280A2E">
            <w:pPr>
              <w:pStyle w:val="BodyText"/>
              <w:rPr>
                <w:lang w:val="en-NZ"/>
              </w:rPr>
            </w:pPr>
            <w:r>
              <w:t>‘</w:t>
            </w:r>
            <w:r w:rsidRPr="00280A2E">
              <w:t>As installed</w:t>
            </w:r>
            <w:r>
              <w:t>’</w:t>
            </w:r>
            <w:r w:rsidRPr="00280A2E">
              <w:t xml:space="preserve"> components and equipment are documented and relevant person/s notified in accordance with workplace procedures</w:t>
            </w:r>
          </w:p>
        </w:tc>
      </w:tr>
      <w:tr w:rsidTr="00280A2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280A2E">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280A2E">
            <w:pPr>
              <w:pStyle w:val="BodyText"/>
              <w:rPr>
                <w:lang w:val="en-NZ"/>
              </w:rPr>
            </w:pPr>
            <w:r w:rsidRPr="00280A2E">
              <w:rPr>
                <w:rStyle w:val="SpecialBold"/>
              </w:rPr>
              <w:t>4.4</w:t>
            </w:r>
          </w:p>
        </w:tc>
        <w:tc>
          <w:tcPr>
            <w:tcW w:w="5592" w:type="dxa"/>
            <w:tcBorders>
              <w:top w:val="nil"/>
              <w:left w:val="nil"/>
              <w:bottom w:val="nil"/>
              <w:right w:val="nil"/>
            </w:tcBorders>
            <w:tcMar>
              <w:top w:w="0" w:type="dxa"/>
              <w:left w:w="62" w:type="dxa"/>
              <w:bottom w:w="0" w:type="dxa"/>
              <w:right w:w="62" w:type="dxa"/>
            </w:tcMar>
          </w:tcPr>
          <w:p w:rsidR="00000000" w:rsidRPr="00280A2E" w:rsidP="00280A2E">
            <w:pPr>
              <w:pStyle w:val="BodyText"/>
            </w:pPr>
            <w:r w:rsidRPr="00280A2E">
              <w:t>Results of commissioning and final operating parameters are documented and relevant person/s notified in accordance with workplace procedures</w:t>
            </w:r>
          </w:p>
        </w:tc>
      </w:tr>
    </w:tbl>
    <w:p w:rsidR="00000000" w:rsidRPr="00280A2E" w:rsidP="00280A2E">
      <w:pPr>
        <w:pStyle w:val="NoPaddingFontSize1"/>
      </w:pPr>
    </w:p>
    <w:p w:rsidR="00000000" w:rsidRPr="00280A2E" w:rsidP="00280A2E">
      <w:pPr>
        <w:pStyle w:val="AllowPageBreak"/>
      </w:pPr>
    </w:p>
    <w:p w:rsidR="00000000" w:rsidRPr="00280A2E" w:rsidP="00280A2E">
      <w:pPr>
        <w:pStyle w:val="Heading1"/>
      </w:pPr>
      <w:bookmarkStart w:id="7" w:name="O_1079425"/>
      <w:bookmarkEnd w:id="7"/>
      <w:r w:rsidRPr="00280A2E">
        <w:t>Foundation Skills</w:t>
      </w:r>
    </w:p>
    <w:tbl>
      <w:tblPr>
        <w:tblW w:w="9497" w:type="dxa"/>
        <w:tblLayout w:type="fixed"/>
        <w:tblCellMar>
          <w:left w:w="62" w:type="dxa"/>
          <w:right w:w="62" w:type="dxa"/>
        </w:tblCellMar>
        <w:tblLook w:val="0000"/>
      </w:tblPr>
      <w:tblGrid>
        <w:gridCol w:w="9497"/>
      </w:tblGrid>
      <w:tr w:rsidTr="00280A2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80A2E" w:rsidP="00280A2E">
            <w:pPr>
              <w:pStyle w:val="BodyText"/>
            </w:pPr>
            <w:r w:rsidRPr="00280A2E">
              <w:t xml:space="preserve">Foundation skills essential to performance are explicit in the performance </w:t>
            </w:r>
            <w:r w:rsidRPr="00280A2E">
              <w:t>criteria of this unit of competency.</w:t>
            </w:r>
          </w:p>
        </w:tc>
      </w:tr>
    </w:tbl>
    <w:p w:rsidR="00000000" w:rsidRPr="00280A2E" w:rsidP="00280A2E">
      <w:pPr>
        <w:pStyle w:val="NoPaddingFontSize1"/>
      </w:pPr>
    </w:p>
    <w:p w:rsidR="00000000" w:rsidRPr="00280A2E" w:rsidP="00280A2E">
      <w:pPr>
        <w:pStyle w:val="AllowPageBreak"/>
      </w:pPr>
    </w:p>
    <w:p w:rsidR="00000000" w:rsidRPr="00280A2E" w:rsidP="00280A2E">
      <w:pPr>
        <w:pStyle w:val="Heading1"/>
      </w:pPr>
      <w:bookmarkStart w:id="8" w:name="O_1079426"/>
      <w:bookmarkEnd w:id="8"/>
      <w:r w:rsidRPr="00280A2E">
        <w:t>Range of Conditions</w:t>
      </w:r>
    </w:p>
    <w:tbl>
      <w:tblPr>
        <w:tblW w:w="9497" w:type="dxa"/>
        <w:tblLayout w:type="fixed"/>
        <w:tblCellMar>
          <w:left w:w="62" w:type="dxa"/>
          <w:right w:w="62" w:type="dxa"/>
        </w:tblCellMar>
        <w:tblLook w:val="0000"/>
      </w:tblPr>
      <w:tblGrid>
        <w:gridCol w:w="4693"/>
        <w:gridCol w:w="4804"/>
      </w:tblGrid>
      <w:tr w:rsidTr="00280A2E">
        <w:tblPrEx>
          <w:tblW w:w="9497" w:type="dxa"/>
          <w:tblLayout w:type="fixed"/>
          <w:tblCellMar>
            <w:left w:w="62" w:type="dxa"/>
            <w:right w:w="62" w:type="dxa"/>
          </w:tblCellMar>
          <w:tblLook w:val="0000"/>
        </w:tblPrEx>
        <w:tc>
          <w:tcPr>
            <w:tcW w:w="9497" w:type="dxa"/>
            <w:gridSpan w:val="2"/>
            <w:tcBorders>
              <w:top w:val="nil"/>
              <w:left w:val="nil"/>
              <w:bottom w:val="nil"/>
              <w:right w:val="nil"/>
            </w:tcBorders>
            <w:tcMar>
              <w:top w:w="0" w:type="dxa"/>
              <w:left w:w="62" w:type="dxa"/>
              <w:bottom w:w="0" w:type="dxa"/>
              <w:right w:w="62" w:type="dxa"/>
            </w:tcMar>
          </w:tcPr>
          <w:p w:rsidR="00000000" w:rsidRPr="00280A2E" w:rsidP="00280A2E">
            <w:pPr>
              <w:pStyle w:val="BodyText"/>
            </w:pPr>
            <w:r w:rsidRPr="00280A2E">
              <w:t>Range is restricted to essential operating conditions and any other variables essential to the work environment.</w:t>
            </w:r>
          </w:p>
          <w:p w:rsidR="00000000" w:rsidP="00280A2E">
            <w:pPr>
              <w:pStyle w:val="BodyText"/>
              <w:rPr>
                <w:lang w:val="en-NZ"/>
              </w:rPr>
            </w:pPr>
            <w:r w:rsidRPr="00280A2E">
              <w:t>Non-essential conditions may be found in the UEE Electrotechnology Training Package Companion Volume Implementation Guide.</w:t>
            </w:r>
          </w:p>
        </w:tc>
      </w:tr>
      <w:tr w:rsidTr="00280A2E">
        <w:tblPrEx>
          <w:tblW w:w="9497" w:type="dxa"/>
          <w:tblLayout w:type="fixed"/>
          <w:tblCellMar>
            <w:left w:w="62" w:type="dxa"/>
            <w:right w:w="62" w:type="dxa"/>
          </w:tblCellMar>
          <w:tblLook w:val="0000"/>
        </w:tblPrEx>
        <w:tc>
          <w:tcPr>
            <w:tcW w:w="4693" w:type="dxa"/>
            <w:tcBorders>
              <w:top w:val="nil"/>
              <w:left w:val="nil"/>
              <w:bottom w:val="nil"/>
              <w:right w:val="nil"/>
            </w:tcBorders>
            <w:tcMar>
              <w:top w:w="0" w:type="dxa"/>
              <w:left w:w="62" w:type="dxa"/>
              <w:bottom w:w="0" w:type="dxa"/>
              <w:right w:w="62" w:type="dxa"/>
            </w:tcMar>
          </w:tcPr>
          <w:p w:rsidR="00000000" w:rsidRPr="00280A2E" w:rsidP="00280A2E">
            <w:pPr>
              <w:pStyle w:val="BodyText"/>
            </w:pPr>
            <w:r w:rsidRPr="00280A2E">
              <w:t xml:space="preserve">Installing and commissioning major components and associated equipment must include at least the following: </w:t>
            </w:r>
          </w:p>
          <w:p w:rsidR="00000000" w:rsidP="00280A2E">
            <w:pPr>
              <w:pStyle w:val="BodyText"/>
              <w:rPr>
                <w:lang w:val="en-NZ"/>
              </w:rPr>
            </w:pPr>
          </w:p>
        </w:tc>
        <w:tc>
          <w:tcPr>
            <w:tcW w:w="4804" w:type="dxa"/>
            <w:tcBorders>
              <w:top w:val="nil"/>
              <w:left w:val="nil"/>
              <w:bottom w:val="nil"/>
              <w:right w:val="nil"/>
            </w:tcBorders>
            <w:tcMar>
              <w:top w:w="0" w:type="dxa"/>
              <w:left w:w="62" w:type="dxa"/>
              <w:bottom w:w="0" w:type="dxa"/>
              <w:right w:w="62" w:type="dxa"/>
            </w:tcMar>
          </w:tcPr>
          <w:p w:rsidR="00000000" w:rsidP="00280A2E">
            <w:pPr>
              <w:pStyle w:val="ListBullet"/>
              <w:rPr>
                <w:lang w:val="en-NZ"/>
              </w:rPr>
            </w:pPr>
            <w:r w:rsidRPr="00280A2E">
              <w:t>two refrigeration an</w:t>
            </w:r>
            <w:r w:rsidRPr="00280A2E">
              <w:t>d/or air conditioning systems operating with a flammable refrigerants refrigerant</w:t>
            </w:r>
          </w:p>
        </w:tc>
      </w:tr>
      <w:tr w:rsidTr="00280A2E">
        <w:tblPrEx>
          <w:tblW w:w="9497" w:type="dxa"/>
          <w:tblLayout w:type="fixed"/>
          <w:tblCellMar>
            <w:left w:w="62" w:type="dxa"/>
            <w:right w:w="62" w:type="dxa"/>
          </w:tblCellMar>
          <w:tblLook w:val="0000"/>
        </w:tblPrEx>
        <w:tc>
          <w:tcPr>
            <w:tcW w:w="4693" w:type="dxa"/>
            <w:tcBorders>
              <w:top w:val="nil"/>
              <w:left w:val="nil"/>
              <w:bottom w:val="nil"/>
              <w:right w:val="nil"/>
            </w:tcBorders>
            <w:tcMar>
              <w:top w:w="0" w:type="dxa"/>
              <w:left w:w="62" w:type="dxa"/>
              <w:bottom w:w="0" w:type="dxa"/>
              <w:right w:w="62" w:type="dxa"/>
            </w:tcMar>
          </w:tcPr>
          <w:p w:rsidR="00000000" w:rsidRPr="00280A2E" w:rsidP="00280A2E">
            <w:pPr>
              <w:pStyle w:val="BodyText"/>
            </w:pPr>
            <w:r w:rsidRPr="00280A2E">
              <w:t xml:space="preserve">Major components must include at least the following: </w:t>
            </w:r>
          </w:p>
          <w:p w:rsidR="00000000" w:rsidP="00280A2E">
            <w:pPr>
              <w:pStyle w:val="BodyText"/>
              <w:rPr>
                <w:lang w:val="en-NZ"/>
              </w:rPr>
            </w:pPr>
          </w:p>
        </w:tc>
        <w:tc>
          <w:tcPr>
            <w:tcW w:w="4804" w:type="dxa"/>
            <w:tcBorders>
              <w:top w:val="nil"/>
              <w:left w:val="nil"/>
              <w:bottom w:val="nil"/>
              <w:right w:val="nil"/>
            </w:tcBorders>
            <w:tcMar>
              <w:top w:w="0" w:type="dxa"/>
              <w:left w:w="62" w:type="dxa"/>
              <w:bottom w:w="0" w:type="dxa"/>
              <w:right w:w="62" w:type="dxa"/>
            </w:tcMar>
          </w:tcPr>
          <w:p w:rsidR="00000000" w:rsidRPr="00280A2E" w:rsidP="00280A2E">
            <w:pPr>
              <w:pStyle w:val="ListBullet"/>
            </w:pPr>
            <w:r w:rsidRPr="00280A2E">
              <w:t>refrigeration compressors</w:t>
            </w:r>
          </w:p>
          <w:p w:rsidR="00000000" w:rsidRPr="00280A2E" w:rsidP="00280A2E">
            <w:pPr>
              <w:pStyle w:val="ListBullet"/>
            </w:pPr>
            <w:r w:rsidRPr="00280A2E">
              <w:t>condensers</w:t>
            </w:r>
          </w:p>
          <w:p w:rsidR="00000000" w:rsidRPr="00280A2E" w:rsidP="00280A2E">
            <w:pPr>
              <w:pStyle w:val="ListBullet"/>
            </w:pPr>
            <w:r w:rsidRPr="00280A2E">
              <w:t xml:space="preserve">condensing units </w:t>
            </w:r>
          </w:p>
          <w:p w:rsidR="00000000" w:rsidP="00280A2E">
            <w:pPr>
              <w:pStyle w:val="ListBullet"/>
              <w:rPr>
                <w:lang w:val="en-NZ"/>
              </w:rPr>
            </w:pPr>
            <w:r w:rsidRPr="00280A2E">
              <w:t>evaporators</w:t>
            </w:r>
          </w:p>
        </w:tc>
      </w:tr>
      <w:tr w:rsidTr="00280A2E">
        <w:tblPrEx>
          <w:tblW w:w="9497" w:type="dxa"/>
          <w:tblLayout w:type="fixed"/>
          <w:tblCellMar>
            <w:left w:w="62" w:type="dxa"/>
            <w:right w:w="62" w:type="dxa"/>
          </w:tblCellMar>
          <w:tblLook w:val="0000"/>
        </w:tblPrEx>
        <w:tc>
          <w:tcPr>
            <w:tcW w:w="4693" w:type="dxa"/>
            <w:tcBorders>
              <w:top w:val="nil"/>
              <w:left w:val="nil"/>
              <w:bottom w:val="nil"/>
              <w:right w:val="nil"/>
            </w:tcBorders>
            <w:tcMar>
              <w:top w:w="0" w:type="dxa"/>
              <w:left w:w="62" w:type="dxa"/>
              <w:bottom w:w="0" w:type="dxa"/>
              <w:right w:w="62" w:type="dxa"/>
            </w:tcMar>
          </w:tcPr>
          <w:p w:rsidR="00000000" w:rsidRPr="00280A2E" w:rsidP="00280A2E">
            <w:pPr>
              <w:pStyle w:val="BodyText"/>
            </w:pPr>
            <w:r w:rsidRPr="00280A2E">
              <w:t xml:space="preserve">Associated equipment must include at least the following: </w:t>
            </w:r>
          </w:p>
          <w:p w:rsidR="00000000" w:rsidP="00280A2E">
            <w:pPr>
              <w:pStyle w:val="BodyText"/>
              <w:rPr>
                <w:lang w:val="en-NZ"/>
              </w:rPr>
            </w:pPr>
          </w:p>
        </w:tc>
        <w:tc>
          <w:tcPr>
            <w:tcW w:w="4804" w:type="dxa"/>
            <w:tcBorders>
              <w:top w:val="nil"/>
              <w:left w:val="nil"/>
              <w:bottom w:val="nil"/>
              <w:right w:val="nil"/>
            </w:tcBorders>
            <w:tcMar>
              <w:top w:w="0" w:type="dxa"/>
              <w:left w:w="62" w:type="dxa"/>
              <w:bottom w:w="0" w:type="dxa"/>
              <w:right w:w="62" w:type="dxa"/>
            </w:tcMar>
          </w:tcPr>
          <w:p w:rsidR="00000000" w:rsidRPr="00280A2E" w:rsidP="00280A2E">
            <w:pPr>
              <w:pStyle w:val="ListBullet"/>
            </w:pPr>
            <w:r w:rsidRPr="00280A2E">
              <w:t>refrigerant flow controls</w:t>
            </w:r>
          </w:p>
          <w:p w:rsidR="00000000" w:rsidRPr="00280A2E" w:rsidP="00280A2E">
            <w:pPr>
              <w:pStyle w:val="ListBullet"/>
            </w:pPr>
            <w:r w:rsidRPr="00280A2E">
              <w:t>cycling controls</w:t>
            </w:r>
          </w:p>
          <w:p w:rsidR="00000000" w:rsidRPr="00280A2E" w:rsidP="00280A2E">
            <w:pPr>
              <w:pStyle w:val="ListBullet"/>
            </w:pPr>
            <w:r w:rsidRPr="00280A2E">
              <w:t>safety controls</w:t>
            </w:r>
          </w:p>
          <w:p w:rsidR="00000000" w:rsidRPr="00280A2E" w:rsidP="00280A2E">
            <w:pPr>
              <w:pStyle w:val="ListBullet"/>
            </w:pPr>
            <w:r w:rsidRPr="00280A2E">
              <w:t>on-site leak detection equipment</w:t>
            </w:r>
          </w:p>
          <w:p w:rsidR="00000000" w:rsidRPr="00280A2E" w:rsidP="00280A2E">
            <w:pPr>
              <w:pStyle w:val="ListBullet"/>
            </w:pPr>
            <w:r w:rsidRPr="00280A2E">
              <w:t>ventilation systems</w:t>
            </w:r>
          </w:p>
          <w:p w:rsidR="00000000" w:rsidRPr="00280A2E" w:rsidP="00280A2E">
            <w:pPr>
              <w:pStyle w:val="ListBullet"/>
            </w:pPr>
            <w:r w:rsidRPr="00280A2E">
              <w:t>spark isolation systems and electrical isolation</w:t>
            </w:r>
          </w:p>
          <w:p w:rsidR="00000000" w:rsidRPr="00280A2E" w:rsidP="00280A2E">
            <w:pPr>
              <w:pStyle w:val="ListBullet"/>
            </w:pPr>
            <w:r w:rsidRPr="00280A2E">
              <w:t>monitoring equipment</w:t>
            </w:r>
          </w:p>
          <w:p w:rsidR="00000000" w:rsidRPr="00280A2E" w:rsidP="00280A2E">
            <w:pPr>
              <w:pStyle w:val="ListBullet"/>
            </w:pPr>
            <w:r w:rsidRPr="00280A2E">
              <w:t>inspection ac</w:t>
            </w:r>
            <w:r w:rsidRPr="00280A2E">
              <w:t>cessories</w:t>
            </w:r>
          </w:p>
        </w:tc>
      </w:tr>
    </w:tbl>
    <w:p w:rsidR="00000000" w:rsidRPr="00280A2E" w:rsidP="00280A2E">
      <w:pPr>
        <w:pStyle w:val="NoPaddingFontSize1"/>
      </w:pPr>
    </w:p>
    <w:p w:rsidR="00000000" w:rsidRPr="00280A2E" w:rsidP="00280A2E">
      <w:pPr>
        <w:pStyle w:val="AllowPageBreak"/>
      </w:pPr>
    </w:p>
    <w:p w:rsidR="00000000" w:rsidRPr="00280A2E" w:rsidP="00280A2E">
      <w:pPr>
        <w:pStyle w:val="Heading1"/>
      </w:pPr>
      <w:bookmarkStart w:id="9" w:name="O_1079427"/>
      <w:bookmarkEnd w:id="9"/>
      <w:r w:rsidRPr="00280A2E">
        <w:t>Unit Mapping Information</w:t>
      </w:r>
    </w:p>
    <w:tbl>
      <w:tblPr>
        <w:tblW w:w="9497" w:type="dxa"/>
        <w:tblLayout w:type="fixed"/>
        <w:tblCellMar>
          <w:left w:w="62" w:type="dxa"/>
          <w:right w:w="62" w:type="dxa"/>
        </w:tblCellMar>
        <w:tblLook w:val="0000"/>
      </w:tblPr>
      <w:tblGrid>
        <w:gridCol w:w="9497"/>
      </w:tblGrid>
      <w:tr w:rsidTr="00280A2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80A2E" w:rsidP="00280A2E">
            <w:pPr>
              <w:pStyle w:val="BodyText"/>
            </w:pPr>
            <w:r w:rsidRPr="00280A2E">
              <w:t>This unit replaces and is equivalent to UEENEEJ176A Install and commission hydrocarbon refrigeration systems, components and associated equipment.</w:t>
            </w:r>
          </w:p>
        </w:tc>
      </w:tr>
    </w:tbl>
    <w:p w:rsidR="00000000" w:rsidRPr="00280A2E" w:rsidP="00280A2E">
      <w:pPr>
        <w:pStyle w:val="NoPaddingFontSize1"/>
      </w:pPr>
    </w:p>
    <w:p w:rsidR="00000000" w:rsidRPr="00280A2E" w:rsidP="00280A2E">
      <w:pPr>
        <w:pStyle w:val="AllowPageBreak"/>
      </w:pPr>
    </w:p>
    <w:p w:rsidR="00000000" w:rsidRPr="00280A2E" w:rsidP="00280A2E">
      <w:pPr>
        <w:pStyle w:val="Heading1"/>
      </w:pPr>
      <w:bookmarkStart w:id="10" w:name="O_1079434"/>
      <w:bookmarkEnd w:id="10"/>
      <w:r w:rsidRPr="00280A2E">
        <w:t>Links</w:t>
      </w:r>
    </w:p>
    <w:p w:rsidR="00000000" w:rsidRPr="00280A2E" w:rsidP="00286CCA">
      <w:pPr>
        <w:pStyle w:val="BodyText"/>
      </w:pPr>
      <w:r w:rsidRPr="00280A2E">
        <w:t xml:space="preserve">Companion Volume implementation guides are found in VETNet - - </w:t>
      </w:r>
      <w:r>
        <w:fldChar w:fldCharType="begin"/>
      </w:r>
      <w:r>
        <w:instrText xml:space="preserve"> HYPERLINK "https://vetnet.gov.au/Pages/TrainingDocs.aspx?q=b8a8f136-5421-4ce1-92e0-2b50341431b6" </w:instrText>
      </w:r>
      <w:r>
        <w:fldChar w:fldCharType="separate"/>
      </w:r>
      <w:r w:rsidRPr="00B40158">
        <w:rPr>
          <w:rStyle w:val="Hyperlink"/>
        </w:rPr>
        <w:t>https://vetnet.gov.au/Pages/TrainingDocs.aspx?q=b8a8f136-5421-4ce1-92e0-2b50341431b6</w:t>
      </w:r>
      <w:r>
        <w:fldChar w:fldCharType="end"/>
      </w:r>
    </w:p>
    <w:p w:rsidR="00000000" w:rsidRPr="00280A2E" w:rsidP="00280A2E"/>
    <w:sectPr w:rsidSect="00280A2E">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0A2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0A2E" w:rsidRPr="00286CCA" w:rsidP="00286CC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0A2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6CCA" w:rsidP="00280A2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286CCA" w:rsidP="00280A2E">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Powering Skills Organisation</w:t>
    </w:r>
    <w:r>
      <w:fldChar w:fldCharType="end"/>
    </w:r>
  </w:p>
  <w:p w:rsidR="00286CCA" w:rsidP="00280A2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0A2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6CC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80A2E" w:rsidRPr="00286CCA" w:rsidP="00286CC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0A2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6CCA" w:rsidRPr="002D2AF8" w:rsidP="00280A2E">
    <w:pPr>
      <w:pStyle w:val="Header"/>
      <w:framePr w:wrap="around"/>
    </w:pPr>
    <w:r>
      <w:fldChar w:fldCharType="begin"/>
    </w:r>
    <w:r>
      <w:instrText xml:space="preserve"> TITLE   \* MERGEFORMAT </w:instrText>
    </w:r>
    <w:r>
      <w:fldChar w:fldCharType="separate"/>
    </w:r>
    <w:r>
      <w:t>UEERA0048 Install and commission flammable refrigerant air conditioning and refrigeration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29 November 2024</w:t>
    </w:r>
    <w:r>
      <w:fldChar w:fldCharType="end"/>
    </w:r>
  </w:p>
  <w:p w:rsidR="00286CCA" w:rsidP="00280A2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0F62797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56127B4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80A2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80A2E"/>
    <w:pPr>
      <w:spacing w:before="360" w:after="60"/>
      <w:outlineLvl w:val="0"/>
    </w:pPr>
    <w:rPr>
      <w:sz w:val="32"/>
    </w:rPr>
  </w:style>
  <w:style w:type="paragraph" w:styleId="Heading2">
    <w:name w:val="heading 2"/>
    <w:basedOn w:val="HeadingBase"/>
    <w:next w:val="BodyText"/>
    <w:link w:val="Heading2Char"/>
    <w:qFormat/>
    <w:rsid w:val="00280A2E"/>
    <w:pPr>
      <w:keepLines/>
      <w:spacing w:before="240" w:after="120"/>
      <w:outlineLvl w:val="1"/>
    </w:pPr>
    <w:rPr>
      <w:sz w:val="28"/>
      <w:szCs w:val="40"/>
    </w:rPr>
  </w:style>
  <w:style w:type="paragraph" w:styleId="Heading3">
    <w:name w:val="heading 3"/>
    <w:basedOn w:val="HeadingBase"/>
    <w:next w:val="BodyText"/>
    <w:link w:val="Heading3Char"/>
    <w:qFormat/>
    <w:rsid w:val="00280A2E"/>
    <w:pPr>
      <w:spacing w:before="180" w:after="120"/>
      <w:outlineLvl w:val="2"/>
    </w:pPr>
    <w:rPr>
      <w:spacing w:val="-10"/>
      <w:kern w:val="32"/>
    </w:rPr>
  </w:style>
  <w:style w:type="paragraph" w:styleId="Heading4">
    <w:name w:val="heading 4"/>
    <w:basedOn w:val="HeadingBase"/>
    <w:next w:val="BodyText"/>
    <w:link w:val="Heading4Char"/>
    <w:qFormat/>
    <w:rsid w:val="00280A2E"/>
    <w:pPr>
      <w:spacing w:before="160" w:after="120"/>
      <w:outlineLvl w:val="3"/>
    </w:pPr>
    <w:rPr>
      <w:sz w:val="22"/>
    </w:rPr>
  </w:style>
  <w:style w:type="paragraph" w:styleId="Heading5">
    <w:name w:val="heading 5"/>
    <w:basedOn w:val="HeadingBase"/>
    <w:next w:val="Normal"/>
    <w:link w:val="Heading5Char"/>
    <w:qFormat/>
    <w:rsid w:val="00280A2E"/>
    <w:pPr>
      <w:spacing w:before="80"/>
      <w:outlineLvl w:val="4"/>
    </w:pPr>
    <w:rPr>
      <w:color w:val="918585"/>
      <w:sz w:val="20"/>
    </w:rPr>
  </w:style>
  <w:style w:type="paragraph" w:styleId="Heading6">
    <w:name w:val="heading 6"/>
    <w:basedOn w:val="HeadingBase"/>
    <w:next w:val="Normal"/>
    <w:link w:val="Heading6Char"/>
    <w:qFormat/>
    <w:rsid w:val="00280A2E"/>
    <w:pPr>
      <w:spacing w:before="60"/>
      <w:outlineLvl w:val="5"/>
    </w:pPr>
    <w:rPr>
      <w:color w:val="918585"/>
      <w:sz w:val="20"/>
    </w:rPr>
  </w:style>
  <w:style w:type="paragraph" w:styleId="Heading7">
    <w:name w:val="heading 7"/>
    <w:basedOn w:val="Normal"/>
    <w:next w:val="Normal"/>
    <w:link w:val="Heading7Char"/>
    <w:qFormat/>
    <w:rsid w:val="00280A2E"/>
    <w:pPr>
      <w:ind w:left="720"/>
      <w:outlineLvl w:val="6"/>
    </w:pPr>
    <w:rPr>
      <w:i/>
    </w:rPr>
  </w:style>
  <w:style w:type="paragraph" w:styleId="Heading8">
    <w:name w:val="heading 8"/>
    <w:basedOn w:val="Normal"/>
    <w:next w:val="Normal"/>
    <w:link w:val="Heading8Char"/>
    <w:qFormat/>
    <w:rsid w:val="00280A2E"/>
    <w:pPr>
      <w:ind w:left="720"/>
      <w:outlineLvl w:val="7"/>
    </w:pPr>
    <w:rPr>
      <w:i/>
    </w:rPr>
  </w:style>
  <w:style w:type="paragraph" w:styleId="Heading9">
    <w:name w:val="heading 9"/>
    <w:basedOn w:val="Normal"/>
    <w:next w:val="Normal"/>
    <w:link w:val="Heading9Char"/>
    <w:qFormat/>
    <w:rsid w:val="00280A2E"/>
    <w:pPr>
      <w:ind w:left="720"/>
      <w:outlineLvl w:val="8"/>
    </w:pPr>
    <w:rPr>
      <w:i/>
    </w:rPr>
  </w:style>
  <w:style w:type="character" w:default="1" w:styleId="DefaultParagraphFont">
    <w:name w:val="Default Paragraph Font"/>
    <w:uiPriority w:val="1"/>
    <w:unhideWhenUsed/>
    <w:rsid w:val="00280A2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80A2E"/>
  </w:style>
  <w:style w:type="character" w:customStyle="1" w:styleId="Heading1Char">
    <w:name w:val="Heading 1 Char"/>
    <w:basedOn w:val="DefaultParagraphFont"/>
    <w:link w:val="Heading1"/>
    <w:rsid w:val="00280A2E"/>
    <w:rPr>
      <w:rFonts w:ascii="Times New Roman" w:eastAsia="Times New Roman" w:hAnsi="Times New Roman" w:cs="Times New Roman"/>
      <w:b/>
      <w:sz w:val="32"/>
      <w:szCs w:val="20"/>
      <w:lang w:eastAsia="en-US"/>
    </w:rPr>
  </w:style>
  <w:style w:type="paragraph" w:styleId="BodyText">
    <w:name w:val="Body Text"/>
    <w:basedOn w:val="Normal"/>
    <w:link w:val="BodyTextChar"/>
    <w:rsid w:val="00280A2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80A2E"/>
    <w:rPr>
      <w:rFonts w:ascii="Times New Roman" w:eastAsia="Times New Roman" w:hAnsi="Times New Roman" w:cs="Times New Roman"/>
      <w:sz w:val="24"/>
      <w:lang w:eastAsia="en-US"/>
    </w:rPr>
  </w:style>
  <w:style w:type="paragraph" w:styleId="ListBullet">
    <w:name w:val="List Bullet"/>
    <w:basedOn w:val="List"/>
    <w:rsid w:val="00280A2E"/>
    <w:pPr>
      <w:numPr>
        <w:numId w:val="11"/>
      </w:numPr>
      <w:tabs>
        <w:tab w:val="clear" w:pos="340"/>
      </w:tabs>
      <w:spacing w:before="40" w:after="40"/>
    </w:pPr>
  </w:style>
  <w:style w:type="character" w:customStyle="1" w:styleId="SpecialBold">
    <w:name w:val="Special Bold"/>
    <w:basedOn w:val="DefaultParagraphFont"/>
    <w:rsid w:val="00280A2E"/>
    <w:rPr>
      <w:b/>
      <w:spacing w:val="0"/>
    </w:rPr>
  </w:style>
  <w:style w:type="paragraph" w:customStyle="1" w:styleId="SuperHeading">
    <w:name w:val="SuperHeading"/>
    <w:basedOn w:val="Normal"/>
    <w:rsid w:val="00280A2E"/>
    <w:pPr>
      <w:spacing w:before="240" w:after="120"/>
      <w:outlineLvl w:val="0"/>
    </w:pPr>
    <w:rPr>
      <w:rFonts w:ascii="Times New Roman" w:hAnsi="Times New Roman"/>
      <w:b/>
      <w:sz w:val="32"/>
    </w:rPr>
  </w:style>
  <w:style w:type="paragraph" w:customStyle="1" w:styleId="AllowPageBreak">
    <w:name w:val="AllowPageBreak"/>
    <w:rsid w:val="00280A2E"/>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280A2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80A2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80A2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80A2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80A2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80A2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80A2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80A2E"/>
    <w:rPr>
      <w:rFonts w:ascii="Courier New" w:eastAsia="Times New Roman" w:hAnsi="Courier New" w:cs="Times New Roman"/>
      <w:i/>
      <w:szCs w:val="20"/>
      <w:lang w:eastAsia="en-US"/>
    </w:rPr>
  </w:style>
  <w:style w:type="paragraph" w:customStyle="1" w:styleId="HeadingBase">
    <w:name w:val="Heading Base"/>
    <w:rsid w:val="00280A2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80A2E"/>
    <w:pPr>
      <w:tabs>
        <w:tab w:val="right" w:leader="dot" w:pos="9072"/>
      </w:tabs>
      <w:ind w:left="567"/>
    </w:pPr>
    <w:rPr>
      <w:szCs w:val="22"/>
    </w:rPr>
  </w:style>
  <w:style w:type="paragraph" w:customStyle="1" w:styleId="TOCBase">
    <w:name w:val="TOC Base"/>
    <w:rsid w:val="00280A2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80A2E"/>
    <w:pPr>
      <w:tabs>
        <w:tab w:val="right" w:leader="dot" w:pos="9072"/>
      </w:tabs>
      <w:spacing w:before="40" w:after="40"/>
      <w:ind w:left="284"/>
    </w:pPr>
    <w:rPr>
      <w:rFonts w:ascii="Times New Roman" w:hAnsi="Times New Roman"/>
    </w:rPr>
  </w:style>
  <w:style w:type="paragraph" w:styleId="TOC1">
    <w:name w:val="toc 1"/>
    <w:basedOn w:val="TOCBase"/>
    <w:next w:val="Normal"/>
    <w:rsid w:val="00280A2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80A2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80A2E"/>
    <w:rPr>
      <w:rFonts w:ascii="Times New Roman" w:eastAsia="Times New Roman" w:hAnsi="Times New Roman" w:cs="Times New Roman"/>
      <w:sz w:val="16"/>
      <w:lang w:eastAsia="en-US"/>
    </w:rPr>
  </w:style>
  <w:style w:type="paragraph" w:styleId="Title">
    <w:name w:val="Title"/>
    <w:basedOn w:val="HeadingBase"/>
    <w:link w:val="TitleChar"/>
    <w:qFormat/>
    <w:rsid w:val="00280A2E"/>
    <w:pPr>
      <w:spacing w:before="5040"/>
      <w:jc w:val="center"/>
    </w:pPr>
    <w:rPr>
      <w:sz w:val="48"/>
      <w:szCs w:val="72"/>
      <w:lang w:val="en-US"/>
    </w:rPr>
  </w:style>
  <w:style w:type="character" w:customStyle="1" w:styleId="TitleChar">
    <w:name w:val="Title Char"/>
    <w:basedOn w:val="DefaultParagraphFont"/>
    <w:link w:val="Title"/>
    <w:rsid w:val="00280A2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80A2E"/>
    <w:pPr>
      <w:tabs>
        <w:tab w:val="left" w:pos="3600"/>
        <w:tab w:val="left" w:pos="3958"/>
      </w:tabs>
    </w:pPr>
  </w:style>
  <w:style w:type="paragraph" w:styleId="List">
    <w:name w:val="List"/>
    <w:basedOn w:val="BodyText"/>
    <w:next w:val="BodyText"/>
    <w:rsid w:val="00280A2E"/>
    <w:pPr>
      <w:tabs>
        <w:tab w:val="left" w:pos="340"/>
      </w:tabs>
      <w:spacing w:before="60" w:after="60"/>
      <w:ind w:left="340" w:hanging="340"/>
    </w:pPr>
  </w:style>
  <w:style w:type="paragraph" w:customStyle="1" w:styleId="Note">
    <w:name w:val="Note"/>
    <w:basedOn w:val="BodyText"/>
    <w:rsid w:val="00280A2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80A2E"/>
    <w:pPr>
      <w:framePr w:wrap="auto" w:hAnchor="text" w:y="6049"/>
    </w:pPr>
    <w:rPr>
      <w:color w:val="000000"/>
      <w:sz w:val="40"/>
    </w:rPr>
  </w:style>
  <w:style w:type="paragraph" w:customStyle="1" w:styleId="TOCTitle">
    <w:name w:val="TOCTitle"/>
    <w:basedOn w:val="Heading1"/>
    <w:rsid w:val="00280A2E"/>
    <w:pPr>
      <w:spacing w:after="240"/>
      <w:jc w:val="center"/>
      <w:outlineLvl w:val="9"/>
    </w:pPr>
    <w:rPr>
      <w:caps/>
    </w:rPr>
  </w:style>
  <w:style w:type="paragraph" w:customStyle="1" w:styleId="Version">
    <w:name w:val="Version"/>
    <w:rsid w:val="00280A2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80A2E"/>
    <w:pPr>
      <w:numPr>
        <w:numId w:val="12"/>
      </w:numPr>
      <w:tabs>
        <w:tab w:val="clear" w:pos="680"/>
      </w:tabs>
    </w:pPr>
  </w:style>
  <w:style w:type="paragraph" w:styleId="Index1">
    <w:name w:val="index 1"/>
    <w:basedOn w:val="Normal"/>
    <w:next w:val="Normal"/>
    <w:semiHidden/>
    <w:rsid w:val="00280A2E"/>
    <w:pPr>
      <w:keepNext w:val="0"/>
      <w:tabs>
        <w:tab w:val="right" w:pos="4176"/>
      </w:tabs>
      <w:ind w:left="198" w:hanging="198"/>
    </w:pPr>
    <w:rPr>
      <w:rFonts w:ascii="Garamond" w:hAnsi="Garamond"/>
    </w:rPr>
  </w:style>
  <w:style w:type="paragraph" w:styleId="IndexHeading">
    <w:name w:val="index heading"/>
    <w:basedOn w:val="Normal"/>
    <w:next w:val="Index1"/>
    <w:semiHidden/>
    <w:rsid w:val="00280A2E"/>
    <w:pPr>
      <w:spacing w:before="120" w:after="120"/>
    </w:pPr>
    <w:rPr>
      <w:rFonts w:ascii="Arial" w:hAnsi="Arial"/>
      <w:b/>
      <w:color w:val="918585"/>
      <w:sz w:val="24"/>
    </w:rPr>
  </w:style>
  <w:style w:type="paragraph" w:styleId="Header">
    <w:name w:val="header"/>
    <w:basedOn w:val="Normal"/>
    <w:link w:val="HeaderChar"/>
    <w:rsid w:val="00280A2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80A2E"/>
    <w:rPr>
      <w:rFonts w:ascii="Times New Roman" w:eastAsia="Times New Roman" w:hAnsi="Times New Roman" w:cs="Times New Roman"/>
      <w:sz w:val="16"/>
      <w:szCs w:val="20"/>
      <w:lang w:val="en-GB" w:eastAsia="en-US"/>
    </w:rPr>
  </w:style>
  <w:style w:type="paragraph" w:customStyle="1" w:styleId="Chapter">
    <w:name w:val="Chapter"/>
    <w:basedOn w:val="Normal"/>
    <w:rsid w:val="00280A2E"/>
    <w:pPr>
      <w:spacing w:before="240"/>
    </w:pPr>
    <w:rPr>
      <w:rFonts w:ascii="Times New Roman" w:hAnsi="Times New Roman"/>
      <w:smallCaps/>
      <w:spacing w:val="80"/>
      <w:sz w:val="28"/>
    </w:rPr>
  </w:style>
  <w:style w:type="paragraph" w:customStyle="1" w:styleId="InChapter">
    <w:name w:val="InChapter"/>
    <w:basedOn w:val="Heading3"/>
    <w:rsid w:val="00280A2E"/>
    <w:pPr>
      <w:spacing w:after="240"/>
      <w:outlineLvl w:val="9"/>
    </w:pPr>
    <w:rPr>
      <w:noProof/>
    </w:rPr>
  </w:style>
  <w:style w:type="paragraph" w:styleId="Index2">
    <w:name w:val="index 2"/>
    <w:basedOn w:val="Normal"/>
    <w:next w:val="Normal"/>
    <w:semiHidden/>
    <w:rsid w:val="00280A2E"/>
    <w:pPr>
      <w:tabs>
        <w:tab w:val="right" w:pos="4176"/>
      </w:tabs>
      <w:ind w:left="568" w:hanging="284"/>
    </w:pPr>
    <w:rPr>
      <w:rFonts w:ascii="Garamond" w:hAnsi="Garamond"/>
    </w:rPr>
  </w:style>
  <w:style w:type="paragraph" w:customStyle="1" w:styleId="Byline">
    <w:name w:val="Byline"/>
    <w:rsid w:val="00280A2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80A2E"/>
    <w:pPr>
      <w:tabs>
        <w:tab w:val="clear" w:pos="3600"/>
        <w:tab w:val="clear" w:pos="3958"/>
      </w:tabs>
      <w:jc w:val="right"/>
    </w:pPr>
  </w:style>
  <w:style w:type="character" w:styleId="Emphasis">
    <w:name w:val="Emphasis"/>
    <w:basedOn w:val="DefaultParagraphFont"/>
    <w:qFormat/>
    <w:rsid w:val="00280A2E"/>
    <w:rPr>
      <w:i/>
    </w:rPr>
  </w:style>
  <w:style w:type="paragraph" w:styleId="Caption">
    <w:name w:val="caption"/>
    <w:basedOn w:val="BodyText"/>
    <w:next w:val="Normal"/>
    <w:qFormat/>
    <w:rsid w:val="00280A2E"/>
    <w:pPr>
      <w:framePr w:w="2268" w:hSpace="181" w:vSpace="181" w:wrap="around" w:vAnchor="text" w:hAnchor="page" w:x="1135" w:y="285" w:anchorLock="1"/>
    </w:pPr>
    <w:rPr>
      <w:i/>
    </w:rPr>
  </w:style>
  <w:style w:type="paragraph" w:customStyle="1" w:styleId="MiniTOCTitle">
    <w:name w:val="MiniTOCTitle"/>
    <w:basedOn w:val="Heading4"/>
    <w:rsid w:val="00280A2E"/>
    <w:pPr>
      <w:spacing w:before="240"/>
      <w:outlineLvl w:val="9"/>
    </w:pPr>
    <w:rPr>
      <w:noProof/>
      <w:sz w:val="24"/>
    </w:rPr>
  </w:style>
  <w:style w:type="paragraph" w:customStyle="1" w:styleId="MiniTOCItem">
    <w:name w:val="MiniTOCItem"/>
    <w:basedOn w:val="ListBullet"/>
    <w:rsid w:val="00280A2E"/>
    <w:pPr>
      <w:numPr>
        <w:numId w:val="0"/>
      </w:numPr>
      <w:tabs>
        <w:tab w:val="right" w:leader="dot" w:pos="6521"/>
      </w:tabs>
      <w:spacing w:before="0" w:after="0"/>
    </w:pPr>
  </w:style>
  <w:style w:type="paragraph" w:customStyle="1" w:styleId="TOFTitle">
    <w:name w:val="TOFTitle"/>
    <w:basedOn w:val="TOCTitle"/>
    <w:rsid w:val="00280A2E"/>
  </w:style>
  <w:style w:type="paragraph" w:styleId="TableofFigures">
    <w:name w:val="table of figures"/>
    <w:basedOn w:val="Normal"/>
    <w:next w:val="Normal"/>
    <w:semiHidden/>
    <w:rsid w:val="00280A2E"/>
    <w:pPr>
      <w:tabs>
        <w:tab w:val="right" w:leader="dot" w:pos="9072"/>
      </w:tabs>
      <w:ind w:left="970" w:hanging="403"/>
    </w:pPr>
    <w:rPr>
      <w:rFonts w:ascii="Times New Roman" w:hAnsi="Times New Roman"/>
      <w:b/>
    </w:rPr>
  </w:style>
  <w:style w:type="paragraph" w:styleId="ListNumber">
    <w:name w:val="List Number"/>
    <w:basedOn w:val="List"/>
    <w:rsid w:val="00280A2E"/>
    <w:pPr>
      <w:numPr>
        <w:numId w:val="14"/>
      </w:numPr>
      <w:tabs>
        <w:tab w:val="clear" w:pos="340"/>
      </w:tabs>
    </w:pPr>
  </w:style>
  <w:style w:type="character" w:customStyle="1" w:styleId="WingdingSymbols">
    <w:name w:val="Wingding Symbols"/>
    <w:rsid w:val="00280A2E"/>
    <w:rPr>
      <w:rFonts w:ascii="Wingdings" w:hAnsi="Wingdings"/>
    </w:rPr>
  </w:style>
  <w:style w:type="paragraph" w:customStyle="1" w:styleId="TableHeading">
    <w:name w:val="Table Heading"/>
    <w:basedOn w:val="HeadingBase"/>
    <w:rsid w:val="00280A2E"/>
    <w:pPr>
      <w:keepLines/>
      <w:pBdr>
        <w:bottom w:val="single" w:sz="6" w:space="1" w:color="918585"/>
      </w:pBdr>
      <w:spacing w:before="240"/>
    </w:pPr>
  </w:style>
  <w:style w:type="character" w:customStyle="1" w:styleId="HotSpot">
    <w:name w:val="HotSpot"/>
    <w:rsid w:val="00280A2E"/>
    <w:rPr>
      <w:color w:val="0033CC"/>
      <w:u w:val="none"/>
    </w:rPr>
  </w:style>
  <w:style w:type="paragraph" w:customStyle="1" w:styleId="BodyTextRight">
    <w:name w:val="Body Text Right"/>
    <w:basedOn w:val="BodyText"/>
    <w:rsid w:val="00280A2E"/>
    <w:pPr>
      <w:spacing w:before="0" w:after="0"/>
      <w:jc w:val="right"/>
    </w:pPr>
  </w:style>
  <w:style w:type="paragraph" w:styleId="Index3">
    <w:name w:val="index 3"/>
    <w:basedOn w:val="ListNumber2"/>
    <w:next w:val="Normal"/>
    <w:semiHidden/>
    <w:rsid w:val="00280A2E"/>
    <w:pPr>
      <w:numPr>
        <w:numId w:val="0"/>
      </w:numPr>
      <w:tabs>
        <w:tab w:val="right" w:leader="dot" w:pos="4176"/>
      </w:tabs>
    </w:pPr>
  </w:style>
  <w:style w:type="paragraph" w:styleId="ListNumber2">
    <w:name w:val="List Number 2"/>
    <w:basedOn w:val="List2"/>
    <w:rsid w:val="00280A2E"/>
    <w:pPr>
      <w:numPr>
        <w:numId w:val="9"/>
      </w:numPr>
      <w:tabs>
        <w:tab w:val="clear" w:pos="1060"/>
      </w:tabs>
    </w:pPr>
  </w:style>
  <w:style w:type="paragraph" w:customStyle="1" w:styleId="MarginNote">
    <w:name w:val="Margin Note"/>
    <w:basedOn w:val="BodyText"/>
    <w:rsid w:val="00280A2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80A2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80A2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80A2E"/>
    <w:rPr>
      <w:sz w:val="32"/>
    </w:rPr>
  </w:style>
  <w:style w:type="paragraph" w:customStyle="1" w:styleId="HeadingProcedure">
    <w:name w:val="Heading Procedure"/>
    <w:basedOn w:val="HeadingBase"/>
    <w:next w:val="Normal"/>
    <w:rsid w:val="00280A2E"/>
    <w:pPr>
      <w:tabs>
        <w:tab w:val="left" w:pos="0"/>
      </w:tabs>
      <w:spacing w:before="120" w:after="60"/>
    </w:pPr>
    <w:rPr>
      <w:i/>
      <w:color w:val="918585"/>
      <w:sz w:val="22"/>
    </w:rPr>
  </w:style>
  <w:style w:type="paragraph" w:customStyle="1" w:styleId="TableBodyText">
    <w:name w:val="Table Body Text"/>
    <w:basedOn w:val="BodyText"/>
    <w:rsid w:val="00280A2E"/>
    <w:pPr>
      <w:spacing w:before="60" w:after="60"/>
    </w:pPr>
  </w:style>
  <w:style w:type="paragraph" w:styleId="ListContinue">
    <w:name w:val="List Continue"/>
    <w:basedOn w:val="List"/>
    <w:rsid w:val="00280A2E"/>
    <w:pPr>
      <w:ind w:firstLine="0"/>
    </w:pPr>
  </w:style>
  <w:style w:type="paragraph" w:customStyle="1" w:styleId="ListNote">
    <w:name w:val="List Note"/>
    <w:basedOn w:val="List"/>
    <w:rsid w:val="00280A2E"/>
    <w:pPr>
      <w:pBdr>
        <w:top w:val="single" w:sz="6" w:space="2" w:color="918585"/>
        <w:bottom w:val="single" w:sz="6" w:space="2" w:color="918585"/>
      </w:pBdr>
      <w:tabs>
        <w:tab w:val="left" w:pos="1021"/>
      </w:tabs>
      <w:ind w:firstLine="0"/>
    </w:pPr>
  </w:style>
  <w:style w:type="paragraph" w:customStyle="1" w:styleId="Warning">
    <w:name w:val="Warning"/>
    <w:basedOn w:val="BodyText"/>
    <w:rsid w:val="00280A2E"/>
    <w:pPr>
      <w:shd w:val="clear" w:color="auto" w:fill="D9D9D9"/>
      <w:tabs>
        <w:tab w:val="left" w:pos="992"/>
      </w:tabs>
      <w:ind w:left="119" w:right="119"/>
    </w:pPr>
    <w:rPr>
      <w:sz w:val="20"/>
    </w:rPr>
  </w:style>
  <w:style w:type="paragraph" w:customStyle="1" w:styleId="MarginIcons">
    <w:name w:val="Margin Icons"/>
    <w:basedOn w:val="BodyText"/>
    <w:rsid w:val="00280A2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80A2E"/>
    <w:rPr>
      <w:rFonts w:ascii="Courier New" w:hAnsi="Courier New"/>
    </w:rPr>
  </w:style>
  <w:style w:type="paragraph" w:customStyle="1" w:styleId="NoteBullet">
    <w:name w:val="Note Bullet"/>
    <w:basedOn w:val="Note"/>
    <w:rsid w:val="00280A2E"/>
    <w:pPr>
      <w:tabs>
        <w:tab w:val="clear" w:pos="680"/>
      </w:tabs>
      <w:spacing w:before="60" w:after="60"/>
    </w:pPr>
  </w:style>
  <w:style w:type="paragraph" w:customStyle="1" w:styleId="SubHeading2">
    <w:name w:val="SubHeading2"/>
    <w:basedOn w:val="HeadingBase"/>
    <w:rsid w:val="00280A2E"/>
    <w:pPr>
      <w:spacing w:before="240" w:after="60"/>
    </w:pPr>
    <w:rPr>
      <w:sz w:val="20"/>
    </w:rPr>
  </w:style>
  <w:style w:type="paragraph" w:customStyle="1" w:styleId="SubHeading1">
    <w:name w:val="SubHeading1"/>
    <w:basedOn w:val="HeadingBase"/>
    <w:rsid w:val="00280A2E"/>
    <w:pPr>
      <w:spacing w:before="240" w:after="60"/>
    </w:pPr>
    <w:rPr>
      <w:color w:val="918585"/>
      <w:sz w:val="22"/>
    </w:rPr>
  </w:style>
  <w:style w:type="paragraph" w:customStyle="1" w:styleId="SideHeading">
    <w:name w:val="Side Heading"/>
    <w:basedOn w:val="HeadingBase"/>
    <w:rsid w:val="00280A2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80A2E"/>
    <w:pPr>
      <w:numPr>
        <w:numId w:val="10"/>
      </w:numPr>
    </w:pPr>
  </w:style>
  <w:style w:type="paragraph" w:styleId="PlainText">
    <w:name w:val="Plain Text"/>
    <w:basedOn w:val="Normal"/>
    <w:link w:val="PlainTextChar"/>
    <w:rsid w:val="00280A2E"/>
    <w:rPr>
      <w:sz w:val="20"/>
    </w:rPr>
  </w:style>
  <w:style w:type="character" w:customStyle="1" w:styleId="PlainTextChar">
    <w:name w:val="Plain Text Char"/>
    <w:basedOn w:val="DefaultParagraphFont"/>
    <w:link w:val="PlainText"/>
    <w:rsid w:val="00280A2E"/>
    <w:rPr>
      <w:rFonts w:ascii="Courier New" w:eastAsia="Times New Roman" w:hAnsi="Courier New" w:cs="Times New Roman"/>
      <w:sz w:val="20"/>
      <w:szCs w:val="20"/>
      <w:lang w:eastAsia="en-US"/>
    </w:rPr>
  </w:style>
  <w:style w:type="character" w:customStyle="1" w:styleId="MenuOption">
    <w:name w:val="Menu Option"/>
    <w:basedOn w:val="DefaultParagraphFont"/>
    <w:rsid w:val="00280A2E"/>
    <w:rPr>
      <w:b/>
      <w:smallCaps/>
    </w:rPr>
  </w:style>
  <w:style w:type="paragraph" w:customStyle="1" w:styleId="TableListNumber">
    <w:name w:val="Table List Number"/>
    <w:basedOn w:val="ListNumber"/>
    <w:rsid w:val="00280A2E"/>
    <w:pPr>
      <w:numPr>
        <w:numId w:val="0"/>
      </w:numPr>
    </w:pPr>
  </w:style>
  <w:style w:type="paragraph" w:styleId="TOC4">
    <w:name w:val="toc 4"/>
    <w:basedOn w:val="TOCBase"/>
    <w:next w:val="Normal"/>
    <w:semiHidden/>
    <w:rsid w:val="00280A2E"/>
    <w:pPr>
      <w:tabs>
        <w:tab w:val="right" w:leader="dot" w:pos="9071"/>
      </w:tabs>
      <w:ind w:left="1701"/>
    </w:pPr>
  </w:style>
  <w:style w:type="paragraph" w:customStyle="1" w:styleId="ListAlpha">
    <w:name w:val="List Alpha"/>
    <w:basedOn w:val="List"/>
    <w:rsid w:val="00280A2E"/>
    <w:pPr>
      <w:numPr>
        <w:numId w:val="8"/>
      </w:numPr>
    </w:pPr>
  </w:style>
  <w:style w:type="paragraph" w:customStyle="1" w:styleId="ListAlpha2">
    <w:name w:val="List Alpha 2"/>
    <w:basedOn w:val="List2"/>
    <w:rsid w:val="00280A2E"/>
    <w:pPr>
      <w:numPr>
        <w:numId w:val="7"/>
      </w:numPr>
    </w:pPr>
  </w:style>
  <w:style w:type="paragraph" w:styleId="List2">
    <w:name w:val="List 2"/>
    <w:basedOn w:val="BodyText"/>
    <w:rsid w:val="00280A2E"/>
    <w:pPr>
      <w:tabs>
        <w:tab w:val="left" w:pos="680"/>
      </w:tabs>
      <w:spacing w:before="60" w:after="60"/>
      <w:ind w:left="680" w:hanging="340"/>
    </w:pPr>
  </w:style>
  <w:style w:type="paragraph" w:styleId="List3">
    <w:name w:val="List 3"/>
    <w:basedOn w:val="BodyText"/>
    <w:rsid w:val="00280A2E"/>
    <w:pPr>
      <w:tabs>
        <w:tab w:val="left" w:pos="1021"/>
      </w:tabs>
      <w:spacing w:before="60" w:after="60"/>
      <w:ind w:left="1020" w:hanging="340"/>
    </w:pPr>
  </w:style>
  <w:style w:type="paragraph" w:styleId="List4">
    <w:name w:val="List 4"/>
    <w:basedOn w:val="BodyText"/>
    <w:rsid w:val="00280A2E"/>
    <w:pPr>
      <w:tabs>
        <w:tab w:val="left" w:pos="1361"/>
      </w:tabs>
      <w:spacing w:before="60" w:after="60"/>
      <w:ind w:left="1361" w:hanging="340"/>
    </w:pPr>
  </w:style>
  <w:style w:type="paragraph" w:styleId="List5">
    <w:name w:val="List 5"/>
    <w:basedOn w:val="BodyText"/>
    <w:rsid w:val="00280A2E"/>
    <w:pPr>
      <w:tabs>
        <w:tab w:val="left" w:pos="1701"/>
      </w:tabs>
      <w:spacing w:before="60" w:after="60"/>
      <w:ind w:left="1701" w:hanging="340"/>
    </w:pPr>
  </w:style>
  <w:style w:type="paragraph" w:styleId="ListBullet3">
    <w:name w:val="List Bullet 3"/>
    <w:basedOn w:val="List3"/>
    <w:rsid w:val="00280A2E"/>
    <w:pPr>
      <w:numPr>
        <w:numId w:val="13"/>
      </w:numPr>
      <w:tabs>
        <w:tab w:val="clear" w:pos="1021"/>
      </w:tabs>
      <w:ind w:left="1037" w:hanging="357"/>
    </w:pPr>
  </w:style>
  <w:style w:type="paragraph" w:styleId="ListBullet4">
    <w:name w:val="List Bullet 4"/>
    <w:basedOn w:val="List4"/>
    <w:rsid w:val="00280A2E"/>
    <w:pPr>
      <w:numPr>
        <w:numId w:val="2"/>
      </w:numPr>
      <w:tabs>
        <w:tab w:val="clear" w:pos="1361"/>
      </w:tabs>
    </w:pPr>
  </w:style>
  <w:style w:type="paragraph" w:styleId="ListBullet5">
    <w:name w:val="List Bullet 5"/>
    <w:basedOn w:val="List5"/>
    <w:rsid w:val="00280A2E"/>
    <w:pPr>
      <w:numPr>
        <w:numId w:val="3"/>
      </w:numPr>
    </w:pPr>
  </w:style>
  <w:style w:type="paragraph" w:styleId="ListContinue2">
    <w:name w:val="List Continue 2"/>
    <w:basedOn w:val="List2"/>
    <w:rsid w:val="00280A2E"/>
    <w:pPr>
      <w:ind w:firstLine="0"/>
    </w:pPr>
  </w:style>
  <w:style w:type="paragraph" w:styleId="ListContinue3">
    <w:name w:val="List Continue 3"/>
    <w:basedOn w:val="List3"/>
    <w:rsid w:val="00280A2E"/>
    <w:pPr>
      <w:ind w:left="1021" w:firstLine="0"/>
    </w:pPr>
  </w:style>
  <w:style w:type="paragraph" w:styleId="ListContinue4">
    <w:name w:val="List Continue 4"/>
    <w:basedOn w:val="List4"/>
    <w:rsid w:val="00280A2E"/>
    <w:pPr>
      <w:ind w:firstLine="0"/>
    </w:pPr>
  </w:style>
  <w:style w:type="paragraph" w:styleId="ListContinue5">
    <w:name w:val="List Continue 5"/>
    <w:basedOn w:val="List5"/>
    <w:rsid w:val="00280A2E"/>
    <w:pPr>
      <w:ind w:firstLine="0"/>
    </w:pPr>
  </w:style>
  <w:style w:type="paragraph" w:styleId="ListNumber3">
    <w:name w:val="List Number 3"/>
    <w:basedOn w:val="List3"/>
    <w:rsid w:val="00280A2E"/>
    <w:pPr>
      <w:numPr>
        <w:numId w:val="4"/>
      </w:numPr>
    </w:pPr>
  </w:style>
  <w:style w:type="paragraph" w:styleId="ListNumber4">
    <w:name w:val="List Number 4"/>
    <w:basedOn w:val="List4"/>
    <w:rsid w:val="00280A2E"/>
    <w:pPr>
      <w:numPr>
        <w:numId w:val="5"/>
      </w:numPr>
    </w:pPr>
  </w:style>
  <w:style w:type="paragraph" w:styleId="ListNumber5">
    <w:name w:val="List Number 5"/>
    <w:basedOn w:val="List5"/>
    <w:rsid w:val="00280A2E"/>
    <w:pPr>
      <w:numPr>
        <w:numId w:val="6"/>
      </w:numPr>
    </w:pPr>
  </w:style>
  <w:style w:type="paragraph" w:styleId="BlockText">
    <w:name w:val="Block Text"/>
    <w:basedOn w:val="Normal"/>
    <w:rsid w:val="00280A2E"/>
    <w:pPr>
      <w:spacing w:after="120"/>
      <w:ind w:left="1440" w:right="1440"/>
    </w:pPr>
  </w:style>
  <w:style w:type="character" w:customStyle="1" w:styleId="Subscript">
    <w:name w:val="Subscript"/>
    <w:basedOn w:val="DefaultParagraphFont"/>
    <w:rsid w:val="00280A2E"/>
    <w:rPr>
      <w:sz w:val="16"/>
      <w:vertAlign w:val="subscript"/>
    </w:rPr>
  </w:style>
  <w:style w:type="character" w:customStyle="1" w:styleId="Superscript">
    <w:name w:val="Superscript"/>
    <w:basedOn w:val="DefaultParagraphFont"/>
    <w:rsid w:val="00280A2E"/>
    <w:rPr>
      <w:sz w:val="16"/>
      <w:vertAlign w:val="superscript"/>
    </w:rPr>
  </w:style>
  <w:style w:type="character" w:customStyle="1" w:styleId="Symbols">
    <w:name w:val="Symbols"/>
    <w:basedOn w:val="DefaultParagraphFont"/>
    <w:rsid w:val="00280A2E"/>
    <w:rPr>
      <w:rFonts w:ascii="Symbol" w:hAnsi="Symbol"/>
    </w:rPr>
  </w:style>
  <w:style w:type="character" w:customStyle="1" w:styleId="MenuOptions">
    <w:name w:val="Menu Options"/>
    <w:basedOn w:val="DefaultParagraphFont"/>
    <w:rsid w:val="00280A2E"/>
    <w:rPr>
      <w:rFonts w:ascii="Arial Narrow" w:hAnsi="Arial Narrow"/>
      <w:smallCaps/>
    </w:rPr>
  </w:style>
  <w:style w:type="character" w:customStyle="1" w:styleId="Buttons">
    <w:name w:val="Buttons"/>
    <w:basedOn w:val="DefaultParagraphFont"/>
    <w:rsid w:val="00280A2E"/>
    <w:rPr>
      <w:b/>
    </w:rPr>
  </w:style>
  <w:style w:type="character" w:customStyle="1" w:styleId="Underlined">
    <w:name w:val="Underlined"/>
    <w:basedOn w:val="DefaultParagraphFont"/>
    <w:rsid w:val="00280A2E"/>
    <w:rPr>
      <w:u w:val="single"/>
    </w:rPr>
  </w:style>
  <w:style w:type="paragraph" w:customStyle="1" w:styleId="TableBodyTextRight">
    <w:name w:val="Table Body Text Right"/>
    <w:basedOn w:val="TableBodyText"/>
    <w:rsid w:val="00280A2E"/>
    <w:pPr>
      <w:widowControl w:val="0"/>
      <w:autoSpaceDE w:val="0"/>
      <w:autoSpaceDN w:val="0"/>
      <w:adjustRightInd w:val="0"/>
      <w:jc w:val="right"/>
    </w:pPr>
    <w:rPr>
      <w:rFonts w:cs="Arial"/>
      <w:szCs w:val="18"/>
    </w:rPr>
  </w:style>
  <w:style w:type="paragraph" w:customStyle="1" w:styleId="CopyrightText">
    <w:name w:val="Copyright Text"/>
    <w:basedOn w:val="BodyText"/>
    <w:rsid w:val="00280A2E"/>
    <w:rPr>
      <w:sz w:val="18"/>
    </w:rPr>
  </w:style>
  <w:style w:type="paragraph" w:customStyle="1" w:styleId="BodySmallRight">
    <w:name w:val="Body Small Right"/>
    <w:basedOn w:val="BodyTextRight"/>
    <w:rsid w:val="00280A2E"/>
    <w:rPr>
      <w:sz w:val="18"/>
      <w:szCs w:val="18"/>
    </w:rPr>
  </w:style>
  <w:style w:type="paragraph" w:customStyle="1" w:styleId="MarginEdition">
    <w:name w:val="Margin Edition"/>
    <w:basedOn w:val="MarginNote"/>
    <w:rsid w:val="00280A2E"/>
    <w:pPr>
      <w:spacing w:before="0" w:after="0"/>
    </w:pPr>
    <w:rPr>
      <w:rFonts w:ascii="Times New Roman" w:hAnsi="Times New Roman"/>
      <w:color w:val="999999"/>
    </w:rPr>
  </w:style>
  <w:style w:type="paragraph" w:customStyle="1" w:styleId="Spacer">
    <w:name w:val="Spacer"/>
    <w:basedOn w:val="Normal"/>
    <w:rsid w:val="00280A2E"/>
    <w:rPr>
      <w:sz w:val="2"/>
      <w:szCs w:val="2"/>
    </w:rPr>
  </w:style>
  <w:style w:type="character" w:customStyle="1" w:styleId="Small">
    <w:name w:val="Small"/>
    <w:basedOn w:val="DefaultParagraphFont"/>
    <w:rsid w:val="00280A2E"/>
    <w:rPr>
      <w:sz w:val="16"/>
    </w:rPr>
  </w:style>
  <w:style w:type="paragraph" w:customStyle="1" w:styleId="WideTable">
    <w:name w:val="Wide Table"/>
    <w:basedOn w:val="Normal"/>
    <w:rsid w:val="00280A2E"/>
    <w:pPr>
      <w:ind w:left="-1418"/>
    </w:pPr>
    <w:rPr>
      <w:sz w:val="2"/>
      <w:szCs w:val="2"/>
    </w:rPr>
  </w:style>
  <w:style w:type="character" w:styleId="PageNumber">
    <w:name w:val="page number"/>
    <w:basedOn w:val="DefaultParagraphFont"/>
    <w:rsid w:val="00280A2E"/>
  </w:style>
  <w:style w:type="paragraph" w:styleId="Quote">
    <w:name w:val="Quote"/>
    <w:basedOn w:val="Heading1"/>
    <w:link w:val="QuoteChar"/>
    <w:qFormat/>
    <w:rsid w:val="00280A2E"/>
    <w:rPr>
      <w:b w:val="0"/>
      <w:sz w:val="72"/>
      <w:szCs w:val="72"/>
      <w:lang w:val="en-NZ"/>
    </w:rPr>
  </w:style>
  <w:style w:type="character" w:customStyle="1" w:styleId="QuoteChar">
    <w:name w:val="Quote Char"/>
    <w:basedOn w:val="DefaultParagraphFont"/>
    <w:link w:val="Quote"/>
    <w:rsid w:val="00280A2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80A2E"/>
    <w:pPr>
      <w:pageBreakBefore/>
    </w:pPr>
  </w:style>
  <w:style w:type="paragraph" w:customStyle="1" w:styleId="Border">
    <w:name w:val="Border"/>
    <w:basedOn w:val="Normal"/>
    <w:qFormat/>
    <w:rsid w:val="00280A2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80A2E"/>
    <w:rPr>
      <w:b/>
      <w:bCs/>
      <w:i/>
      <w:iCs/>
      <w:color w:val="auto"/>
    </w:rPr>
  </w:style>
  <w:style w:type="paragraph" w:styleId="IntenseQuote">
    <w:name w:val="Intense Quote"/>
    <w:basedOn w:val="Normal"/>
    <w:next w:val="Normal"/>
    <w:link w:val="IntenseQuoteChar"/>
    <w:uiPriority w:val="30"/>
    <w:qFormat/>
    <w:rsid w:val="00280A2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80A2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80A2E"/>
    <w:rPr>
      <w:smallCaps/>
      <w:color w:val="auto"/>
      <w:u w:val="single"/>
    </w:rPr>
  </w:style>
  <w:style w:type="character" w:styleId="IntenseReference">
    <w:name w:val="Intense Reference"/>
    <w:basedOn w:val="DefaultParagraphFont"/>
    <w:uiPriority w:val="32"/>
    <w:qFormat/>
    <w:rsid w:val="00280A2E"/>
    <w:rPr>
      <w:b/>
      <w:bCs/>
      <w:smallCaps/>
      <w:color w:val="auto"/>
      <w:spacing w:val="5"/>
      <w:u w:val="single"/>
    </w:rPr>
  </w:style>
  <w:style w:type="paragraph" w:customStyle="1" w:styleId="2ColumnHeading">
    <w:name w:val="2Column Heading"/>
    <w:basedOn w:val="BodyText"/>
    <w:qFormat/>
    <w:rsid w:val="00280A2E"/>
    <w:pPr>
      <w:spacing w:after="60"/>
      <w:ind w:left="-2268"/>
    </w:pPr>
    <w:rPr>
      <w:b/>
    </w:rPr>
  </w:style>
  <w:style w:type="paragraph" w:customStyle="1" w:styleId="Heading1TOC">
    <w:name w:val="Heading1 TOC"/>
    <w:basedOn w:val="Normal"/>
    <w:qFormat/>
    <w:rsid w:val="00280A2E"/>
    <w:pPr>
      <w:spacing w:before="240" w:after="120"/>
    </w:pPr>
    <w:rPr>
      <w:rFonts w:ascii="Times New Roman" w:hAnsi="Times New Roman"/>
      <w:b/>
      <w:sz w:val="32"/>
    </w:rPr>
  </w:style>
  <w:style w:type="paragraph" w:customStyle="1" w:styleId="Heading2TOC">
    <w:name w:val="Heading2 TOC"/>
    <w:basedOn w:val="Normal"/>
    <w:qFormat/>
    <w:rsid w:val="00280A2E"/>
    <w:pPr>
      <w:spacing w:before="240" w:after="60"/>
    </w:pPr>
    <w:rPr>
      <w:rFonts w:ascii="Times New Roman" w:hAnsi="Times New Roman"/>
      <w:b/>
      <w:sz w:val="28"/>
    </w:rPr>
  </w:style>
  <w:style w:type="character" w:customStyle="1" w:styleId="Underline">
    <w:name w:val="Underline"/>
    <w:basedOn w:val="DefaultParagraphFont"/>
    <w:qFormat/>
    <w:rsid w:val="00280A2E"/>
    <w:rPr>
      <w:u w:val="single"/>
    </w:rPr>
  </w:style>
  <w:style w:type="character" w:customStyle="1" w:styleId="BoldandItalics">
    <w:name w:val="Bold and Italics"/>
    <w:qFormat/>
    <w:rsid w:val="00280A2E"/>
    <w:rPr>
      <w:b/>
      <w:i/>
      <w:u w:val="none"/>
    </w:rPr>
  </w:style>
  <w:style w:type="paragraph" w:styleId="BalloonText">
    <w:name w:val="Balloon Text"/>
    <w:basedOn w:val="Normal"/>
    <w:link w:val="BalloonTextChar"/>
    <w:rsid w:val="00280A2E"/>
    <w:rPr>
      <w:rFonts w:ascii="Tahoma" w:hAnsi="Tahoma" w:cs="Tahoma"/>
      <w:sz w:val="16"/>
      <w:szCs w:val="16"/>
    </w:rPr>
  </w:style>
  <w:style w:type="character" w:customStyle="1" w:styleId="BalloonTextChar">
    <w:name w:val="Balloon Text Char"/>
    <w:basedOn w:val="DefaultParagraphFont"/>
    <w:link w:val="BalloonText"/>
    <w:rsid w:val="00280A2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80A2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80A2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80A2E"/>
    <w:rPr>
      <w:b/>
      <w:color w:val="660033"/>
      <w:spacing w:val="0"/>
    </w:rPr>
  </w:style>
  <w:style w:type="paragraph" w:customStyle="1" w:styleId="Nameditemlist">
    <w:name w:val="Named item list"/>
    <w:basedOn w:val="BodyText"/>
    <w:qFormat/>
    <w:rsid w:val="00280A2E"/>
    <w:pPr>
      <w:tabs>
        <w:tab w:val="left" w:pos="2835"/>
      </w:tabs>
      <w:ind w:left="2835" w:hanging="2835"/>
    </w:pPr>
  </w:style>
  <w:style w:type="paragraph" w:customStyle="1" w:styleId="BodyTextnopadding">
    <w:name w:val="Body Text no padding"/>
    <w:basedOn w:val="BodyText"/>
    <w:qFormat/>
    <w:rsid w:val="00280A2E"/>
    <w:pPr>
      <w:spacing w:before="0" w:after="0"/>
    </w:pPr>
  </w:style>
  <w:style w:type="paragraph" w:customStyle="1" w:styleId="BodyTextBold">
    <w:name w:val="Body Text Bold"/>
    <w:basedOn w:val="BodyText"/>
    <w:qFormat/>
    <w:rsid w:val="00280A2E"/>
    <w:rPr>
      <w:b/>
    </w:rPr>
  </w:style>
  <w:style w:type="character" w:styleId="Hyperlink">
    <w:name w:val="Hyperlink"/>
    <w:basedOn w:val="DefaultParagraphFont"/>
    <w:uiPriority w:val="99"/>
    <w:unhideWhenUsed/>
    <w:rsid w:val="00286CC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1219</Words>
  <Characters>8136</Characters>
  <Application>Microsoft Office Word</Application>
  <DocSecurity>0</DocSecurity>
  <Lines>312</Lines>
  <Paragraphs>131</Paragraphs>
  <ScaleCrop>false</ScaleCrop>
  <Company>Author-it Software Corporation Ltd.</Company>
  <LinksUpToDate>false</LinksUpToDate>
  <CharactersWithSpaces>9224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UEERA0048 Install and commission flammable refrigerant air conditioning and refrigeration systems</dc:title>
  <dc:subject>Approved</dc:subject>
  <dc:creator>Powering Skills Organisation</dc:creator>
  <cp:keywords>Release: 1</cp:keywords>
  <dc:description>Review Date: 12 April 2008</dc:description>
  <cp:lastModifiedBy>HSD_TPCMSd.prod</cp:lastModifiedBy>
  <cp:revision>3</cp:revision>
  <dcterms:created xsi:type="dcterms:W3CDTF">2024-11-29T00:34:00Z</dcterms:created>
  <dcterms:modified xsi:type="dcterms:W3CDTF">2024-11-29T00:34:00Z</dcterms:modified>
</cp:coreProperties>
</file>