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C0A" w:rsidP="00247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UEERA0041 Evaluate new and alternative technologies applicable to electrotechnology applications</w:t>
      </w:r>
      <w:r>
        <w:fldChar w:fldCharType="end"/>
      </w:r>
    </w:p>
    <w:p w:rsidR="00247C0A" w:rsidP="00247C0A">
      <w:pPr>
        <w:pStyle w:val="Version"/>
        <w:sectPr w:rsidSect="00C30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084" w:rsidP="00C30084">
      <w:pPr>
        <w:pStyle w:val="SuperHeading"/>
      </w:pPr>
      <w:r w:rsidRPr="00C30084">
        <w:t>Assessment Requirements for UEERA0041 Evaluate new and alternative technologies applicable to electrotechnology applications</w:t>
      </w:r>
    </w:p>
    <w:p w:rsidR="00000000" w:rsidRPr="00C30084" w:rsidP="00C30084">
      <w:pPr>
        <w:pStyle w:val="Heading1"/>
      </w:pPr>
      <w:bookmarkStart w:id="1" w:name="O_1080816"/>
      <w:bookmarkEnd w:id="1"/>
      <w:r w:rsidRPr="00C300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084" w:rsidP="00C30084">
            <w:pPr>
              <w:pStyle w:val="BodyText"/>
            </w:pPr>
            <w:r w:rsidRPr="00C30084">
              <w:t>Release 1. This is the first release of this unit of competency in the UEE Electrotechnology Training Package.</w:t>
            </w:r>
          </w:p>
        </w:tc>
      </w:tr>
    </w:tbl>
    <w:p w:rsidR="00000000" w:rsidRPr="00C30084" w:rsidP="00C30084">
      <w:pPr>
        <w:pStyle w:val="NoPaddingFontSize1"/>
      </w:pPr>
    </w:p>
    <w:p w:rsidR="00000000" w:rsidRPr="00C30084" w:rsidP="00C30084">
      <w:pPr>
        <w:pStyle w:val="AllowPageBreak"/>
      </w:pPr>
    </w:p>
    <w:p w:rsidR="00000000" w:rsidRPr="00C30084" w:rsidP="00C30084">
      <w:pPr>
        <w:pStyle w:val="Heading1"/>
      </w:pPr>
      <w:bookmarkStart w:id="2" w:name="O_1080817"/>
      <w:bookmarkEnd w:id="2"/>
      <w:r w:rsidRPr="00C3008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084">
            <w:pPr>
              <w:pStyle w:val="BodyText"/>
              <w:rPr>
                <w:lang w:val="en-NZ"/>
              </w:rPr>
            </w:pPr>
            <w:r w:rsidRPr="00C30084">
              <w:t>Evidence required to demonstrate competence in this unit must be relevant to and satisfy all of the req</w:t>
            </w:r>
            <w:r w:rsidRPr="00C30084">
              <w:t>uirements of the elements, performance criteria and range of conditions on at least one occasion and include:</w:t>
            </w:r>
          </w:p>
        </w:tc>
      </w:tr>
      <w:tr w:rsidTr="00C30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084" w:rsidP="00C30084">
            <w:pPr>
              <w:pStyle w:val="ListBullet"/>
            </w:pPr>
            <w:r w:rsidRPr="00C30084">
              <w:t>determining the extent of the evaluation</w:t>
            </w:r>
          </w:p>
          <w:p w:rsidR="00000000" w:rsidRPr="00C30084" w:rsidP="00C30084">
            <w:pPr>
              <w:pStyle w:val="ListBullet"/>
            </w:pPr>
            <w:r w:rsidRPr="00C30084">
              <w:t>comparing manufacturer</w:t>
            </w:r>
            <w:r>
              <w:t>’</w:t>
            </w:r>
            <w:r w:rsidRPr="00C30084">
              <w:t>s technical data for alternative or new technologies with proposed project speci</w:t>
            </w:r>
            <w:r w:rsidRPr="00C30084">
              <w:t>fications, budget and regulations accurately</w:t>
            </w:r>
          </w:p>
          <w:p w:rsidR="00000000" w:rsidRPr="00C30084" w:rsidP="00C30084">
            <w:pPr>
              <w:pStyle w:val="ListBullet"/>
            </w:pPr>
            <w:r w:rsidRPr="00C30084">
              <w:t>reporting evaluation, including recommendations and justifications for adoption or rejection of the alternative and new technologies evaluated</w:t>
            </w:r>
          </w:p>
          <w:p w:rsidR="00000000" w:rsidRPr="00C30084" w:rsidP="00C30084">
            <w:pPr>
              <w:pStyle w:val="ListBullet"/>
            </w:pPr>
            <w:r w:rsidRPr="00C30084">
              <w:t>dealing with unplanned events</w:t>
            </w:r>
          </w:p>
          <w:p w:rsidR="00000000" w:rsidRPr="00C30084" w:rsidP="00C30084">
            <w:pPr>
              <w:pStyle w:val="ListBullet"/>
            </w:pPr>
            <w:r w:rsidRPr="00C30084">
              <w:t>applying environmental and sustainable</w:t>
            </w:r>
            <w:r w:rsidRPr="00C30084">
              <w:t xml:space="preserve"> energy principles and practices</w:t>
            </w:r>
          </w:p>
          <w:p w:rsidR="00000000" w:rsidRPr="00C30084" w:rsidP="00C30084">
            <w:pPr>
              <w:pStyle w:val="ListBullet"/>
            </w:pPr>
            <w:r w:rsidRPr="00C30084">
              <w:t>applying relevant legislation, industry standards, codes of practice and regulations</w:t>
            </w:r>
          </w:p>
          <w:p w:rsidR="00000000" w:rsidRPr="00C30084" w:rsidP="00C30084">
            <w:pPr>
              <w:pStyle w:val="ListBullet"/>
            </w:pPr>
            <w:r w:rsidRPr="00C30084">
              <w:t>applying relevant work health and safety (WHS)/occupational health and safety (OHS) requirements, including:</w:t>
            </w:r>
          </w:p>
          <w:p w:rsidR="00000000" w:rsidRPr="00C30084" w:rsidP="00C30084">
            <w:pPr>
              <w:pStyle w:val="ListBullet2"/>
            </w:pPr>
            <w:r w:rsidRPr="00C30084">
              <w:t>applying safe working practices</w:t>
            </w:r>
          </w:p>
          <w:p w:rsidR="00000000" w:rsidRPr="00C30084" w:rsidP="00C30084">
            <w:pPr>
              <w:pStyle w:val="ListBullet2"/>
            </w:pPr>
            <w:r w:rsidRPr="00C30084">
              <w:t>implementing risk control measures</w:t>
            </w:r>
          </w:p>
          <w:p w:rsidR="00000000" w:rsidRPr="00C30084" w:rsidP="00C30084">
            <w:pPr>
              <w:pStyle w:val="ListBullet"/>
            </w:pPr>
            <w:r w:rsidRPr="00C30084">
              <w:t>conducting evaluation tests</w:t>
            </w:r>
          </w:p>
          <w:p w:rsidR="00000000" w:rsidRPr="00C30084" w:rsidP="00C30084">
            <w:pPr>
              <w:pStyle w:val="ListBullet"/>
            </w:pPr>
            <w:r w:rsidRPr="00C30084">
              <w:t>determining need to test or measure live work</w:t>
            </w:r>
          </w:p>
          <w:p w:rsidR="00000000" w:rsidRPr="00C30084" w:rsidP="00C30084">
            <w:pPr>
              <w:pStyle w:val="ListBullet"/>
            </w:pPr>
            <w:r w:rsidRPr="00C30084">
              <w:t>evaluating performance benefits and limitations of new and developed technologies for given applications</w:t>
            </w:r>
          </w:p>
          <w:p w:rsidR="00000000" w:rsidRPr="00C30084" w:rsidP="00C30084">
            <w:pPr>
              <w:pStyle w:val="ListBullet"/>
            </w:pPr>
            <w:r w:rsidRPr="00C30084">
              <w:t>making an</w:t>
            </w:r>
            <w:r w:rsidRPr="00C30084">
              <w:t>d documenting recommendations and justifications.</w:t>
            </w:r>
          </w:p>
        </w:tc>
      </w:tr>
    </w:tbl>
    <w:p w:rsidR="00000000" w:rsidRPr="00C30084" w:rsidP="00C30084">
      <w:pPr>
        <w:pStyle w:val="NoPaddingFontSize1"/>
      </w:pPr>
    </w:p>
    <w:p w:rsidR="00000000" w:rsidRPr="00C30084" w:rsidP="00C30084">
      <w:pPr>
        <w:pStyle w:val="AllowPageBreak"/>
      </w:pPr>
    </w:p>
    <w:p w:rsidR="00000000" w:rsidRPr="00C30084" w:rsidP="00C30084">
      <w:pPr>
        <w:pStyle w:val="Heading1"/>
      </w:pPr>
      <w:bookmarkStart w:id="3" w:name="O_1080818"/>
      <w:bookmarkEnd w:id="3"/>
      <w:r w:rsidRPr="00C3008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084">
            <w:pPr>
              <w:pStyle w:val="BodyText"/>
              <w:rPr>
                <w:lang w:val="en-NZ"/>
              </w:rPr>
            </w:pPr>
            <w:r w:rsidRPr="00C30084">
              <w:t xml:space="preserve">Evidence required to demonstrate competence in this unit must be relevant to and satisfy all of the requirements of the elements, performance criteria </w:t>
            </w:r>
            <w:r w:rsidRPr="00C30084">
              <w:t>and range of conditions and include knowledge of:</w:t>
            </w:r>
          </w:p>
        </w:tc>
      </w:tr>
      <w:tr w:rsidTr="00C30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084" w:rsidP="00C30084">
            <w:pPr>
              <w:pStyle w:val="ListBullet"/>
            </w:pPr>
            <w:r w:rsidRPr="00C30084">
              <w:t>new and alternative technology sources, processes for their adoption, safe working practices and relevant standards, codes and regulations including:</w:t>
            </w:r>
          </w:p>
          <w:p w:rsidR="00000000" w:rsidRPr="00C30084" w:rsidP="00C30084">
            <w:pPr>
              <w:pStyle w:val="ListBullet2"/>
            </w:pPr>
            <w:r w:rsidRPr="00C30084">
              <w:t>sources of information on alternative or new technolo</w:t>
            </w:r>
            <w:r w:rsidRPr="00C30084">
              <w:t>gies:</w:t>
            </w:r>
          </w:p>
          <w:p w:rsidR="00000000" w:rsidRPr="00C30084" w:rsidP="00C30084">
            <w:pPr>
              <w:pStyle w:val="ListBullet3"/>
            </w:pPr>
            <w:r w:rsidRPr="00C30084">
              <w:t>industry organisations</w:t>
            </w:r>
          </w:p>
          <w:p w:rsidR="00000000" w:rsidRPr="00C30084" w:rsidP="00C30084">
            <w:pPr>
              <w:pStyle w:val="ListBullet3"/>
            </w:pPr>
            <w:r w:rsidRPr="00C30084">
              <w:t>industry technical journals</w:t>
            </w:r>
          </w:p>
          <w:p w:rsidR="00000000" w:rsidRPr="00C30084" w:rsidP="00C30084">
            <w:pPr>
              <w:pStyle w:val="ListBullet3"/>
            </w:pPr>
            <w:r w:rsidRPr="00C30084">
              <w:t>government and private research papers/literature</w:t>
            </w:r>
          </w:p>
          <w:p w:rsidR="00000000" w:rsidRPr="00C30084" w:rsidP="00C30084">
            <w:pPr>
              <w:pStyle w:val="ListBullet3"/>
            </w:pPr>
            <w:r w:rsidRPr="00C30084">
              <w:t>manufacturers’ bulletins</w:t>
            </w:r>
          </w:p>
          <w:p w:rsidR="00000000" w:rsidRPr="00C30084" w:rsidP="00C30084">
            <w:pPr>
              <w:pStyle w:val="ListBullet2"/>
            </w:pPr>
            <w:r w:rsidRPr="00C30084">
              <w:t>comparison of technical data from different manufacturers</w:t>
            </w:r>
          </w:p>
          <w:p w:rsidR="00000000" w:rsidRPr="00C30084" w:rsidP="00C30084">
            <w:pPr>
              <w:pStyle w:val="ListBullet2"/>
            </w:pPr>
            <w:r w:rsidRPr="00C30084">
              <w:t>evaluating performance benefits and limitations of new and developed technologies for given applications, encompassing:</w:t>
            </w:r>
          </w:p>
          <w:p w:rsidR="00000000" w:rsidRPr="00C30084" w:rsidP="00C30084">
            <w:pPr>
              <w:pStyle w:val="ListBullet3"/>
            </w:pPr>
            <w:r w:rsidRPr="00C30084">
              <w:t>capital cost-benefits</w:t>
            </w:r>
          </w:p>
          <w:p w:rsidR="00000000" w:rsidRPr="00C30084" w:rsidP="00C30084">
            <w:pPr>
              <w:pStyle w:val="ListBullet3"/>
            </w:pPr>
            <w:r w:rsidRPr="00C30084">
              <w:t>operations efficiency</w:t>
            </w:r>
          </w:p>
          <w:p w:rsidR="00000000" w:rsidRPr="00C30084" w:rsidP="00C30084">
            <w:pPr>
              <w:pStyle w:val="ListBullet3"/>
            </w:pPr>
            <w:r w:rsidRPr="00C30084">
              <w:t>risk hazardous and issues related to environmental and health and safety</w:t>
            </w:r>
          </w:p>
          <w:p w:rsidR="00000000" w:rsidRPr="00C30084" w:rsidP="00C30084">
            <w:pPr>
              <w:pStyle w:val="ListBullet3"/>
            </w:pPr>
            <w:r w:rsidRPr="00C30084">
              <w:t>functionality</w:t>
            </w:r>
          </w:p>
          <w:p w:rsidR="00000000" w:rsidRPr="00C30084" w:rsidP="00C30084">
            <w:pPr>
              <w:pStyle w:val="ListBullet2"/>
            </w:pPr>
            <w:r w:rsidRPr="00C30084">
              <w:t>pro</w:t>
            </w:r>
            <w:r w:rsidRPr="00C30084">
              <w:t>cesses to facilitate adoption:</w:t>
            </w:r>
          </w:p>
          <w:p w:rsidR="00000000" w:rsidRPr="00C30084" w:rsidP="00C30084">
            <w:pPr>
              <w:pStyle w:val="ListBullet3"/>
            </w:pPr>
            <w:r w:rsidRPr="00C30084">
              <w:t>research; analyses; reporting; recommending; and utilising a range of techniques, processes and technologies</w:t>
            </w:r>
          </w:p>
          <w:p w:rsidR="00000000" w:rsidRPr="00C30084" w:rsidP="00C30084">
            <w:pPr>
              <w:pStyle w:val="ListBullet"/>
            </w:pPr>
            <w:r w:rsidRPr="00C30084">
              <w:t>proposed project specifications, budget and regulations</w:t>
            </w:r>
          </w:p>
          <w:p w:rsidR="00000000" w:rsidRPr="00C30084" w:rsidP="00C30084">
            <w:pPr>
              <w:pStyle w:val="ListBullet"/>
            </w:pPr>
            <w:r w:rsidRPr="00C30084">
              <w:t>relevant manufacturer specifications</w:t>
            </w:r>
          </w:p>
          <w:p w:rsidR="00000000" w:rsidRPr="00C30084" w:rsidP="00C30084">
            <w:pPr>
              <w:pStyle w:val="ListBullet"/>
            </w:pPr>
            <w:r w:rsidRPr="00C30084">
              <w:t>relevant test methods</w:t>
            </w:r>
          </w:p>
          <w:p w:rsidR="00000000" w:rsidRPr="00C30084" w:rsidP="00C30084">
            <w:pPr>
              <w:pStyle w:val="ListBullet"/>
            </w:pPr>
            <w:r w:rsidRPr="00C30084">
              <w:t>relevant tools, testing devices and manufacturer technical data</w:t>
            </w:r>
          </w:p>
          <w:p w:rsidR="00000000" w:rsidRPr="00C30084" w:rsidP="00C30084">
            <w:pPr>
              <w:pStyle w:val="ListBullet"/>
            </w:pPr>
            <w:r w:rsidRPr="00C30084">
              <w:t>relevant WHS/OHS legislated requirements, including:</w:t>
            </w:r>
          </w:p>
          <w:p w:rsidR="00000000" w:rsidRPr="00C30084" w:rsidP="00C30084">
            <w:pPr>
              <w:pStyle w:val="ListBullet2"/>
            </w:pPr>
            <w:r w:rsidRPr="00C30084">
              <w:t>environmental and sustainable energy principles and practices</w:t>
            </w:r>
          </w:p>
          <w:p w:rsidR="00000000" w:rsidRPr="00C30084" w:rsidP="00C30084">
            <w:pPr>
              <w:pStyle w:val="ListBullet2"/>
            </w:pPr>
            <w:r w:rsidRPr="00C30084">
              <w:t>risk control measures</w:t>
            </w:r>
          </w:p>
          <w:p w:rsidR="00000000" w:rsidRPr="00C30084" w:rsidP="00C30084">
            <w:pPr>
              <w:pStyle w:val="ListBullet"/>
            </w:pPr>
            <w:r w:rsidRPr="00C30084">
              <w:t>relevant workplace documentation</w:t>
            </w:r>
          </w:p>
          <w:p w:rsidR="00000000" w:rsidRPr="00C30084" w:rsidP="00C30084">
            <w:pPr>
              <w:pStyle w:val="ListBullet"/>
            </w:pPr>
            <w:r w:rsidRPr="00C30084">
              <w:t xml:space="preserve">relevant workplace </w:t>
            </w:r>
            <w:r w:rsidRPr="00C30084">
              <w:t>policies and procedures.</w:t>
            </w:r>
          </w:p>
        </w:tc>
      </w:tr>
    </w:tbl>
    <w:p w:rsidR="00000000" w:rsidRPr="00C30084" w:rsidP="00C30084">
      <w:pPr>
        <w:pStyle w:val="NoPaddingFontSize1"/>
      </w:pPr>
    </w:p>
    <w:p w:rsidR="00000000" w:rsidRPr="00C30084" w:rsidP="00C30084">
      <w:pPr>
        <w:pStyle w:val="AllowPageBreak"/>
      </w:pPr>
    </w:p>
    <w:p w:rsidR="00000000" w:rsidRPr="00C30084" w:rsidP="00C30084">
      <w:pPr>
        <w:pStyle w:val="Heading1"/>
      </w:pPr>
      <w:bookmarkStart w:id="4" w:name="O_1080819"/>
      <w:bookmarkEnd w:id="4"/>
      <w:r w:rsidRPr="00C3008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084" w:rsidP="00C30084">
            <w:pPr>
              <w:pStyle w:val="BodyText"/>
            </w:pPr>
            <w:r w:rsidRPr="00C30084">
              <w:t>Assessors must hold credentials specified within the Standards for Registered Training Organisations current at the time of assessment.</w:t>
            </w:r>
          </w:p>
          <w:p w:rsidR="00000000" w:rsidRPr="00C30084" w:rsidP="00C30084">
            <w:pPr>
              <w:pStyle w:val="BodyText"/>
            </w:pPr>
            <w:r w:rsidRPr="00C30084">
              <w:t>Assessment must satisfy the Princip</w:t>
            </w:r>
            <w:r w:rsidRPr="00C30084">
              <w:t>les of Assessment and Rules of Evidence and all regulatory requirements included within the Standards for Registered Training Organisations current at the time of assessment.</w:t>
            </w:r>
          </w:p>
          <w:p w:rsidR="00000000" w:rsidRPr="00C30084" w:rsidP="00C30084">
            <w:pPr>
              <w:pStyle w:val="BodyText"/>
            </w:pPr>
            <w:r w:rsidRPr="00C30084">
              <w:t>Assessment must occur in workplace operational situations where it is appropriate</w:t>
            </w:r>
            <w:r w:rsidRPr="00C30084">
              <w:t xml:space="preserve"> to do so; where this is not appropriate, assessment must occur in simulated workplace operational situations that replicate workplace conditions.</w:t>
            </w:r>
          </w:p>
          <w:p w:rsidR="00000000" w:rsidRPr="00C30084" w:rsidP="00C30084">
            <w:pPr>
              <w:pStyle w:val="BodyText"/>
            </w:pPr>
            <w:r w:rsidRPr="00C30084">
              <w:t>Assessment processes and techniques must be appropriate to the language, literacy and numeracy requirements o</w:t>
            </w:r>
            <w:r w:rsidRPr="00C30084">
              <w:t>f the work being performed and the needs of the candidate.</w:t>
            </w:r>
          </w:p>
          <w:p w:rsidR="00000000" w:rsidRPr="00C30084" w:rsidP="00C30084">
            <w:pPr>
              <w:pStyle w:val="BodyText"/>
            </w:pPr>
            <w:r w:rsidRPr="00C30084">
              <w:t>Resources for assessment must include access to:</w:t>
            </w:r>
          </w:p>
          <w:p w:rsidR="00000000" w:rsidRPr="00C30084" w:rsidP="00C30084">
            <w:pPr>
              <w:pStyle w:val="ListBullet"/>
            </w:pPr>
            <w:r w:rsidRPr="00C30084">
              <w:t>a range of relevant exercises, case studies and/or other simulations</w:t>
            </w:r>
          </w:p>
          <w:p w:rsidR="00000000" w:rsidRPr="00C30084" w:rsidP="00C30084">
            <w:pPr>
              <w:pStyle w:val="ListBullet"/>
            </w:pPr>
            <w:r w:rsidRPr="00C30084">
              <w:t>relevant and appropriate materials, tools, equipment and personal protective e</w:t>
            </w:r>
            <w:r w:rsidRPr="00C30084">
              <w:t>quipment (PPE) currently used in industry</w:t>
            </w:r>
          </w:p>
          <w:p w:rsidR="00000000" w:rsidRPr="00C30084" w:rsidP="00C30084">
            <w:pPr>
              <w:pStyle w:val="ListBullet"/>
            </w:pPr>
            <w:r w:rsidRPr="00C30084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30084" w:rsidP="00C30084">
      <w:pPr>
        <w:pStyle w:val="NoPaddingFontSize1"/>
      </w:pPr>
    </w:p>
    <w:p w:rsidR="00000000" w:rsidRPr="00C30084" w:rsidP="00C30084">
      <w:pPr>
        <w:pStyle w:val="AllowPageBreak"/>
      </w:pPr>
    </w:p>
    <w:p w:rsidR="00000000" w:rsidRPr="00C30084" w:rsidP="00C30084">
      <w:pPr>
        <w:pStyle w:val="Heading1"/>
      </w:pPr>
      <w:bookmarkStart w:id="5" w:name="O_1080822"/>
      <w:bookmarkEnd w:id="5"/>
      <w:r w:rsidRPr="00C30084">
        <w:t>Links</w:t>
      </w:r>
    </w:p>
    <w:p w:rsidR="00000000" w:rsidRPr="00C30084" w:rsidP="00247C0A">
      <w:pPr>
        <w:pStyle w:val="BodyText"/>
      </w:pPr>
      <w:r w:rsidRPr="00C3008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A22A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30084" w:rsidP="00C30084"/>
    <w:sectPr w:rsidSect="00C300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84" w:rsidRPr="00247C0A" w:rsidP="00247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0A" w:rsidP="00C30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C0A" w:rsidP="00C30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47C0A" w:rsidP="00C30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084" w:rsidRPr="00247C0A" w:rsidP="00247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0A" w:rsidRPr="002D2AF8" w:rsidP="00C30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UEERA0041 Evaluate new and alternative technologies applicable to electrotechnology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47C0A" w:rsidP="00C30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A6B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343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325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084"/>
  </w:style>
  <w:style w:type="character" w:customStyle="1" w:styleId="Heading1Char">
    <w:name w:val="Heading 1 Char"/>
    <w:basedOn w:val="DefaultParagraphFont"/>
    <w:link w:val="Heading1"/>
    <w:rsid w:val="00C30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0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0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00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0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008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0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0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0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0084"/>
    <w:rPr>
      <w:b/>
      <w:spacing w:val="0"/>
    </w:rPr>
  </w:style>
  <w:style w:type="paragraph" w:customStyle="1" w:styleId="SuperTitle">
    <w:name w:val="SuperTitle"/>
    <w:basedOn w:val="Title"/>
    <w:rsid w:val="00C30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0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0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084"/>
    <w:rPr>
      <w:i/>
    </w:rPr>
  </w:style>
  <w:style w:type="paragraph" w:styleId="Caption">
    <w:name w:val="caption"/>
    <w:basedOn w:val="BodyText"/>
    <w:next w:val="Normal"/>
    <w:qFormat/>
    <w:rsid w:val="00C30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084"/>
  </w:style>
  <w:style w:type="paragraph" w:styleId="TableofFigures">
    <w:name w:val="table of figures"/>
    <w:basedOn w:val="Normal"/>
    <w:next w:val="Normal"/>
    <w:semiHidden/>
    <w:rsid w:val="00C30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0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0084"/>
    <w:rPr>
      <w:rFonts w:ascii="Wingdings" w:hAnsi="Wingdings"/>
    </w:rPr>
  </w:style>
  <w:style w:type="paragraph" w:customStyle="1" w:styleId="TableHeading">
    <w:name w:val="Table Heading"/>
    <w:basedOn w:val="HeadingBase"/>
    <w:rsid w:val="00C30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084"/>
    <w:rPr>
      <w:color w:val="0033CC"/>
      <w:u w:val="none"/>
    </w:rPr>
  </w:style>
  <w:style w:type="paragraph" w:customStyle="1" w:styleId="BodyTextRight">
    <w:name w:val="Body Text Right"/>
    <w:basedOn w:val="BodyText"/>
    <w:rsid w:val="00C30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0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084"/>
    <w:rPr>
      <w:sz w:val="32"/>
    </w:rPr>
  </w:style>
  <w:style w:type="paragraph" w:customStyle="1" w:styleId="HeadingProcedure">
    <w:name w:val="Heading Procedure"/>
    <w:basedOn w:val="HeadingBase"/>
    <w:next w:val="Normal"/>
    <w:rsid w:val="00C30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084"/>
    <w:pPr>
      <w:spacing w:before="60" w:after="60"/>
    </w:pPr>
  </w:style>
  <w:style w:type="paragraph" w:styleId="ListContinue">
    <w:name w:val="List Continue"/>
    <w:basedOn w:val="List"/>
    <w:rsid w:val="00C30084"/>
    <w:pPr>
      <w:ind w:firstLine="0"/>
    </w:pPr>
  </w:style>
  <w:style w:type="paragraph" w:customStyle="1" w:styleId="ListNote">
    <w:name w:val="List Note"/>
    <w:basedOn w:val="List"/>
    <w:rsid w:val="00C30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084"/>
    <w:rPr>
      <w:rFonts w:ascii="Courier New" w:hAnsi="Courier New"/>
    </w:rPr>
  </w:style>
  <w:style w:type="paragraph" w:customStyle="1" w:styleId="NoteBullet">
    <w:name w:val="Note Bullet"/>
    <w:basedOn w:val="Note"/>
    <w:rsid w:val="00C30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0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0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084"/>
    <w:rPr>
      <w:b/>
      <w:smallCaps/>
    </w:rPr>
  </w:style>
  <w:style w:type="paragraph" w:customStyle="1" w:styleId="TableListNumber">
    <w:name w:val="Table List Number"/>
    <w:basedOn w:val="ListNumber"/>
    <w:rsid w:val="00C30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084"/>
    <w:pPr>
      <w:numPr>
        <w:numId w:val="10"/>
      </w:numPr>
    </w:pPr>
  </w:style>
  <w:style w:type="paragraph" w:customStyle="1" w:styleId="ListAlpha2">
    <w:name w:val="List Alpha 2"/>
    <w:basedOn w:val="List2"/>
    <w:rsid w:val="00C30084"/>
    <w:pPr>
      <w:numPr>
        <w:numId w:val="9"/>
      </w:numPr>
    </w:pPr>
  </w:style>
  <w:style w:type="paragraph" w:styleId="List2">
    <w:name w:val="List 2"/>
    <w:basedOn w:val="BodyText"/>
    <w:rsid w:val="00C30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0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00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0084"/>
    <w:pPr>
      <w:numPr>
        <w:numId w:val="5"/>
      </w:numPr>
    </w:pPr>
  </w:style>
  <w:style w:type="paragraph" w:styleId="ListContinue2">
    <w:name w:val="List Continue 2"/>
    <w:basedOn w:val="List2"/>
    <w:rsid w:val="00C30084"/>
    <w:pPr>
      <w:ind w:firstLine="0"/>
    </w:pPr>
  </w:style>
  <w:style w:type="paragraph" w:styleId="ListContinue3">
    <w:name w:val="List Continue 3"/>
    <w:basedOn w:val="List3"/>
    <w:rsid w:val="00C30084"/>
    <w:pPr>
      <w:ind w:left="1021" w:firstLine="0"/>
    </w:pPr>
  </w:style>
  <w:style w:type="paragraph" w:styleId="ListContinue4">
    <w:name w:val="List Continue 4"/>
    <w:basedOn w:val="List4"/>
    <w:rsid w:val="00C30084"/>
    <w:pPr>
      <w:ind w:firstLine="0"/>
    </w:pPr>
  </w:style>
  <w:style w:type="paragraph" w:styleId="ListContinue5">
    <w:name w:val="List Continue 5"/>
    <w:basedOn w:val="List5"/>
    <w:rsid w:val="00C30084"/>
    <w:pPr>
      <w:ind w:firstLine="0"/>
    </w:pPr>
  </w:style>
  <w:style w:type="paragraph" w:styleId="ListNumber3">
    <w:name w:val="List Number 3"/>
    <w:basedOn w:val="List3"/>
    <w:rsid w:val="00C30084"/>
    <w:pPr>
      <w:numPr>
        <w:numId w:val="6"/>
      </w:numPr>
    </w:pPr>
  </w:style>
  <w:style w:type="paragraph" w:styleId="ListNumber4">
    <w:name w:val="List Number 4"/>
    <w:basedOn w:val="List4"/>
    <w:rsid w:val="00C30084"/>
    <w:pPr>
      <w:numPr>
        <w:numId w:val="7"/>
      </w:numPr>
    </w:pPr>
  </w:style>
  <w:style w:type="paragraph" w:styleId="ListNumber5">
    <w:name w:val="List Number 5"/>
    <w:basedOn w:val="List5"/>
    <w:rsid w:val="00C30084"/>
    <w:pPr>
      <w:numPr>
        <w:numId w:val="8"/>
      </w:numPr>
    </w:pPr>
  </w:style>
  <w:style w:type="paragraph" w:styleId="BlockText">
    <w:name w:val="Block Text"/>
    <w:basedOn w:val="Normal"/>
    <w:rsid w:val="00C30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084"/>
    <w:rPr>
      <w:sz w:val="16"/>
      <w:vertAlign w:val="superscript"/>
    </w:rPr>
  </w:style>
  <w:style w:type="character" w:customStyle="1" w:styleId="Symbols">
    <w:name w:val="Symbols"/>
    <w:basedOn w:val="DefaultParagraphFont"/>
    <w:rsid w:val="00C30084"/>
    <w:rPr>
      <w:rFonts w:ascii="Symbol" w:hAnsi="Symbol"/>
    </w:rPr>
  </w:style>
  <w:style w:type="character" w:customStyle="1" w:styleId="MenuOptions">
    <w:name w:val="Menu Options"/>
    <w:basedOn w:val="DefaultParagraphFont"/>
    <w:rsid w:val="00C30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084"/>
    <w:rPr>
      <w:b/>
    </w:rPr>
  </w:style>
  <w:style w:type="character" w:customStyle="1" w:styleId="Underlined">
    <w:name w:val="Underlined"/>
    <w:basedOn w:val="DefaultParagraphFont"/>
    <w:rsid w:val="00C30084"/>
    <w:rPr>
      <w:u w:val="single"/>
    </w:rPr>
  </w:style>
  <w:style w:type="paragraph" w:customStyle="1" w:styleId="TableBodyTextRight">
    <w:name w:val="Table Body Text Right"/>
    <w:basedOn w:val="TableBodyText"/>
    <w:rsid w:val="00C30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084"/>
    <w:rPr>
      <w:sz w:val="18"/>
    </w:rPr>
  </w:style>
  <w:style w:type="paragraph" w:customStyle="1" w:styleId="BodySmallRight">
    <w:name w:val="Body Small Right"/>
    <w:basedOn w:val="BodyTextRight"/>
    <w:rsid w:val="00C30084"/>
    <w:rPr>
      <w:sz w:val="18"/>
      <w:szCs w:val="18"/>
    </w:rPr>
  </w:style>
  <w:style w:type="paragraph" w:customStyle="1" w:styleId="MarginEdition">
    <w:name w:val="Margin Edition"/>
    <w:basedOn w:val="MarginNote"/>
    <w:rsid w:val="00C30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084"/>
    <w:rPr>
      <w:sz w:val="2"/>
      <w:szCs w:val="2"/>
    </w:rPr>
  </w:style>
  <w:style w:type="character" w:customStyle="1" w:styleId="Small">
    <w:name w:val="Small"/>
    <w:basedOn w:val="DefaultParagraphFont"/>
    <w:rsid w:val="00C30084"/>
    <w:rPr>
      <w:sz w:val="16"/>
    </w:rPr>
  </w:style>
  <w:style w:type="paragraph" w:customStyle="1" w:styleId="WideTable">
    <w:name w:val="Wide Table"/>
    <w:basedOn w:val="Normal"/>
    <w:rsid w:val="00C30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084"/>
  </w:style>
  <w:style w:type="paragraph" w:styleId="Quote">
    <w:name w:val="Quote"/>
    <w:basedOn w:val="Heading1"/>
    <w:link w:val="QuoteChar"/>
    <w:qFormat/>
    <w:rsid w:val="00C30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084"/>
    <w:pPr>
      <w:pageBreakBefore/>
    </w:pPr>
  </w:style>
  <w:style w:type="paragraph" w:customStyle="1" w:styleId="Border">
    <w:name w:val="Border"/>
    <w:basedOn w:val="Normal"/>
    <w:qFormat/>
    <w:rsid w:val="00C30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084"/>
    <w:rPr>
      <w:u w:val="single"/>
    </w:rPr>
  </w:style>
  <w:style w:type="character" w:customStyle="1" w:styleId="BoldandItalics">
    <w:name w:val="Bold and Italics"/>
    <w:qFormat/>
    <w:rsid w:val="00C30084"/>
    <w:rPr>
      <w:b/>
      <w:i/>
      <w:u w:val="none"/>
    </w:rPr>
  </w:style>
  <w:style w:type="paragraph" w:styleId="BalloonText">
    <w:name w:val="Balloon Text"/>
    <w:basedOn w:val="Normal"/>
    <w:link w:val="BalloonTextChar"/>
    <w:rsid w:val="00C30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084"/>
    <w:pPr>
      <w:spacing w:before="0" w:after="0"/>
    </w:pPr>
  </w:style>
  <w:style w:type="paragraph" w:customStyle="1" w:styleId="BodyTextBold">
    <w:name w:val="Body Text Bold"/>
    <w:basedOn w:val="BodyText"/>
    <w:qFormat/>
    <w:rsid w:val="00C30084"/>
    <w:rPr>
      <w:b/>
    </w:rPr>
  </w:style>
  <w:style w:type="character" w:styleId="Hyperlink">
    <w:name w:val="Hyperlink"/>
    <w:basedOn w:val="DefaultParagraphFont"/>
    <w:uiPriority w:val="99"/>
    <w:unhideWhenUsed/>
    <w:rsid w:val="00247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3891</Characters>
  <Application>Microsoft Office Word</Application>
  <DocSecurity>0</DocSecurity>
  <Lines>94</Lines>
  <Paragraphs>65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UEERA0041 Evaluate new and alternative technologies applicable to electrotechnology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