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D2C" w:rsidP="00A82D2C">
      <w:pPr>
        <w:pStyle w:val="Title"/>
      </w:pPr>
      <w:r>
        <w:fldChar w:fldCharType="begin"/>
      </w:r>
      <w:r>
        <w:instrText xml:space="preserve"> TITLE   \* MERGEFORMAT </w:instrText>
      </w:r>
      <w:r>
        <w:fldChar w:fldCharType="separate"/>
      </w:r>
      <w:r>
        <w:t>Assessment Requirements for UEERA0027 Design secondary refrigerant systems</w:t>
      </w:r>
      <w:r>
        <w:fldChar w:fldCharType="end"/>
      </w:r>
    </w:p>
    <w:p w:rsidR="00A82D2C" w:rsidP="00A82D2C">
      <w:pPr>
        <w:pStyle w:val="Version"/>
        <w:sectPr w:rsidSect="00540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E3A" w:rsidP="00540E3A">
      <w:pPr>
        <w:pStyle w:val="SuperHeading"/>
      </w:pPr>
      <w:r w:rsidRPr="00540E3A">
        <w:t>Assessment Requirements for UEERA0027 Design secondary refrigerant systems</w:t>
      </w:r>
    </w:p>
    <w:p w:rsidR="00000000" w:rsidRPr="00540E3A" w:rsidP="00540E3A">
      <w:pPr>
        <w:pStyle w:val="Heading1"/>
      </w:pPr>
      <w:bookmarkStart w:id="1" w:name="O_1081405"/>
      <w:bookmarkEnd w:id="1"/>
      <w:r w:rsidRPr="00540E3A">
        <w:t>Modification History</w:t>
      </w:r>
    </w:p>
    <w:tbl>
      <w:tblPr>
        <w:tblW w:w="9497" w:type="dxa"/>
        <w:tblLayout w:type="fixed"/>
        <w:tblCellMar>
          <w:left w:w="62" w:type="dxa"/>
          <w:right w:w="62" w:type="dxa"/>
        </w:tblCellMar>
        <w:tblLook w:val="0000"/>
      </w:tblPr>
      <w:tblGrid>
        <w:gridCol w:w="9497"/>
      </w:tblGrid>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E3A" w:rsidP="00540E3A">
            <w:pPr>
              <w:pStyle w:val="BodyText"/>
            </w:pPr>
            <w:r w:rsidRPr="00540E3A">
              <w:t>Release 1. This is the first release of this unit of competency in the UEE Electrotechnology Training Package.</w:t>
            </w:r>
          </w:p>
        </w:tc>
      </w:tr>
    </w:tbl>
    <w:p w:rsidR="00000000" w:rsidRPr="00540E3A" w:rsidP="00540E3A">
      <w:pPr>
        <w:pStyle w:val="NoPaddingFontSize1"/>
      </w:pPr>
    </w:p>
    <w:p w:rsidR="00000000" w:rsidRPr="00540E3A" w:rsidP="00540E3A">
      <w:pPr>
        <w:pStyle w:val="AllowPageBreak"/>
      </w:pPr>
    </w:p>
    <w:p w:rsidR="00000000" w:rsidRPr="00540E3A" w:rsidP="00540E3A">
      <w:pPr>
        <w:pStyle w:val="Heading1"/>
      </w:pPr>
      <w:bookmarkStart w:id="2" w:name="O_1081406"/>
      <w:bookmarkEnd w:id="2"/>
      <w:r w:rsidRPr="00540E3A">
        <w:t>Performance Evidence</w:t>
      </w:r>
    </w:p>
    <w:tbl>
      <w:tblPr>
        <w:tblW w:w="9497" w:type="dxa"/>
        <w:tblLayout w:type="fixed"/>
        <w:tblCellMar>
          <w:left w:w="62" w:type="dxa"/>
          <w:right w:w="62" w:type="dxa"/>
        </w:tblCellMar>
        <w:tblLook w:val="0000"/>
      </w:tblPr>
      <w:tblGrid>
        <w:gridCol w:w="9497"/>
      </w:tblGrid>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0E3A">
            <w:pPr>
              <w:pStyle w:val="BodyText"/>
              <w:rPr>
                <w:lang w:val="en-NZ"/>
              </w:rPr>
            </w:pPr>
            <w:r w:rsidRPr="00540E3A">
              <w:t>Evidence required to demonstrate competence in this unit must be relevant to and satisfy all of the requirements of the elements, performance criteria and range of conditions on at least one occasion and include:</w:t>
            </w:r>
          </w:p>
        </w:tc>
      </w:tr>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E3A" w:rsidP="00540E3A">
            <w:pPr>
              <w:pStyle w:val="ListBullet"/>
            </w:pPr>
            <w:r w:rsidRPr="00540E3A">
              <w:t>understanding requir</w:t>
            </w:r>
            <w:r w:rsidRPr="00540E3A">
              <w:t>ed operating functions and parameters from the design specification</w:t>
            </w:r>
          </w:p>
          <w:p w:rsidR="00000000" w:rsidRPr="00540E3A" w:rsidP="00540E3A">
            <w:pPr>
              <w:pStyle w:val="ListBullet"/>
            </w:pPr>
            <w:r w:rsidRPr="00540E3A">
              <w:t>developing the design within the safety, regulatory and functional requirements and budget limitations</w:t>
            </w:r>
          </w:p>
          <w:p w:rsidR="00000000" w:rsidRPr="00540E3A" w:rsidP="00540E3A">
            <w:pPr>
              <w:pStyle w:val="ListBullet"/>
            </w:pPr>
            <w:r w:rsidRPr="00540E3A">
              <w:t>documenting and presenting design effectively</w:t>
            </w:r>
          </w:p>
          <w:p w:rsidR="00000000" w:rsidRPr="00540E3A" w:rsidP="00540E3A">
            <w:pPr>
              <w:pStyle w:val="ListBullet"/>
            </w:pPr>
            <w:r w:rsidRPr="00540E3A">
              <w:t xml:space="preserve">negotiating design alteration requests </w:t>
            </w:r>
            <w:r w:rsidRPr="00540E3A">
              <w:t>successfully</w:t>
            </w:r>
          </w:p>
          <w:p w:rsidR="00000000" w:rsidRPr="00540E3A" w:rsidP="00540E3A">
            <w:pPr>
              <w:pStyle w:val="ListBullet"/>
            </w:pPr>
            <w:r w:rsidRPr="00540E3A">
              <w:t>obtaining approval for final design</w:t>
            </w:r>
          </w:p>
          <w:p w:rsidR="00000000" w:rsidRPr="00540E3A" w:rsidP="00540E3A">
            <w:pPr>
              <w:pStyle w:val="ListBullet"/>
            </w:pPr>
            <w:r w:rsidRPr="00540E3A">
              <w:t>dealing with unplanned events</w:t>
            </w:r>
          </w:p>
          <w:p w:rsidR="00000000" w:rsidRPr="00540E3A" w:rsidP="00540E3A">
            <w:pPr>
              <w:pStyle w:val="ListBullet"/>
            </w:pPr>
            <w:r w:rsidRPr="00540E3A">
              <w:t>applying relevant work health and safety (WHS)/occupational health and safety (OHS) requirements, including using risk controls</w:t>
            </w:r>
          </w:p>
          <w:p w:rsidR="00000000" w:rsidRPr="00540E3A" w:rsidP="00540E3A">
            <w:pPr>
              <w:pStyle w:val="ListBullet"/>
            </w:pPr>
            <w:r w:rsidRPr="00540E3A">
              <w:t>designing secondary refrigeration systems</w:t>
            </w:r>
          </w:p>
          <w:p w:rsidR="00000000" w:rsidRPr="00540E3A" w:rsidP="00540E3A">
            <w:pPr>
              <w:pStyle w:val="ListBullet"/>
            </w:pPr>
            <w:r w:rsidRPr="00540E3A">
              <w:t>preparing to design secondary refrigeration systems.</w:t>
            </w:r>
          </w:p>
        </w:tc>
      </w:tr>
    </w:tbl>
    <w:p w:rsidR="00000000" w:rsidRPr="00540E3A" w:rsidP="00540E3A">
      <w:pPr>
        <w:pStyle w:val="NoPaddingFontSize1"/>
      </w:pPr>
    </w:p>
    <w:p w:rsidR="00000000" w:rsidRPr="00540E3A" w:rsidP="00540E3A">
      <w:pPr>
        <w:pStyle w:val="AllowPageBreak"/>
      </w:pPr>
    </w:p>
    <w:p w:rsidR="00000000" w:rsidRPr="00540E3A" w:rsidP="00540E3A">
      <w:pPr>
        <w:pStyle w:val="Heading1"/>
      </w:pPr>
      <w:bookmarkStart w:id="3" w:name="O_1081407"/>
      <w:bookmarkEnd w:id="3"/>
      <w:r w:rsidRPr="00540E3A">
        <w:t>Knowledge Evidence</w:t>
      </w:r>
    </w:p>
    <w:tbl>
      <w:tblPr>
        <w:tblW w:w="9497" w:type="dxa"/>
        <w:tblLayout w:type="fixed"/>
        <w:tblCellMar>
          <w:left w:w="62" w:type="dxa"/>
          <w:right w:w="62" w:type="dxa"/>
        </w:tblCellMar>
        <w:tblLook w:val="0000"/>
      </w:tblPr>
      <w:tblGrid>
        <w:gridCol w:w="9497"/>
      </w:tblGrid>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0E3A">
            <w:pPr>
              <w:pStyle w:val="BodyText"/>
              <w:rPr>
                <w:lang w:val="en-NZ"/>
              </w:rPr>
            </w:pPr>
            <w:r w:rsidRPr="00540E3A">
              <w:t>Evidence required to demonstrate competence in this unit must be relevant to and satisfy all of the requirements of the elements, performance criteria and range of</w:t>
            </w:r>
            <w:r w:rsidRPr="00540E3A">
              <w:t xml:space="preserve"> conditions and include knowledge of:</w:t>
            </w:r>
          </w:p>
        </w:tc>
      </w:tr>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E3A" w:rsidP="00540E3A">
            <w:pPr>
              <w:pStyle w:val="ListBullet"/>
            </w:pPr>
            <w:r w:rsidRPr="00540E3A">
              <w:t xml:space="preserve">secondary refrigeration system design, components and piping design, safe working practices and relevant standards, codes and regulations, including: </w:t>
            </w:r>
          </w:p>
          <w:p w:rsidR="00000000" w:rsidRPr="00540E3A" w:rsidP="00540E3A">
            <w:pPr>
              <w:pStyle w:val="ListBullet2"/>
            </w:pPr>
            <w:r w:rsidRPr="00540E3A">
              <w:t>technical standards, regulations and codes for secondary refrige</w:t>
            </w:r>
            <w:r w:rsidRPr="00540E3A">
              <w:t>ration systems:</w:t>
            </w:r>
          </w:p>
          <w:p w:rsidR="00000000" w:rsidRPr="00540E3A" w:rsidP="00540E3A">
            <w:pPr>
              <w:pStyle w:val="ListBullet3"/>
            </w:pPr>
            <w:r w:rsidRPr="00540E3A">
              <w:t>environmental and safety considerations in the use and disposal of secondary refrigerants:</w:t>
            </w:r>
          </w:p>
          <w:p w:rsidR="00000000" w:rsidRPr="00540E3A" w:rsidP="00540E3A">
            <w:pPr>
              <w:pStyle w:val="ListBullet4"/>
            </w:pPr>
            <w:r w:rsidRPr="00540E3A">
              <w:t>toxicity and food compatibility</w:t>
            </w:r>
          </w:p>
          <w:p w:rsidR="00000000" w:rsidRPr="00540E3A" w:rsidP="00540E3A">
            <w:pPr>
              <w:pStyle w:val="ListBullet4"/>
            </w:pPr>
            <w:r w:rsidRPr="00540E3A">
              <w:t>flammability</w:t>
            </w:r>
          </w:p>
          <w:p w:rsidR="00000000" w:rsidRPr="00540E3A" w:rsidP="00540E3A">
            <w:pPr>
              <w:pStyle w:val="ListBullet4"/>
            </w:pPr>
            <w:r w:rsidRPr="00540E3A">
              <w:t>environmental effects</w:t>
            </w:r>
          </w:p>
          <w:p w:rsidR="00000000" w:rsidRPr="00540E3A" w:rsidP="00540E3A">
            <w:pPr>
              <w:pStyle w:val="ListBullet4"/>
            </w:pPr>
            <w:r w:rsidRPr="00540E3A">
              <w:t>safe disposal</w:t>
            </w:r>
          </w:p>
          <w:p w:rsidR="00000000" w:rsidRPr="00540E3A" w:rsidP="00540E3A">
            <w:pPr>
              <w:pStyle w:val="ListBullet4"/>
            </w:pPr>
            <w:r w:rsidRPr="00540E3A">
              <w:t>safety data sheets (SDS)/material safety data sheet (MSDS) samples</w:t>
            </w:r>
          </w:p>
          <w:p w:rsidR="00000000" w:rsidRPr="00540E3A" w:rsidP="00540E3A">
            <w:pPr>
              <w:pStyle w:val="ListBullet4"/>
            </w:pPr>
            <w:r w:rsidRPr="00540E3A">
              <w:t>registration requirements for transport and on-site use</w:t>
            </w:r>
          </w:p>
          <w:p w:rsidR="00000000" w:rsidRPr="00540E3A" w:rsidP="00540E3A">
            <w:pPr>
              <w:pStyle w:val="ListBullet3"/>
            </w:pPr>
            <w:r w:rsidRPr="00540E3A">
              <w:t>secondary refrigeration systems design requirements:</w:t>
            </w:r>
          </w:p>
          <w:p w:rsidR="00000000" w:rsidRPr="00540E3A" w:rsidP="00540E3A">
            <w:pPr>
              <w:pStyle w:val="ListBullet4"/>
            </w:pPr>
            <w:r w:rsidRPr="00540E3A">
              <w:t>applications of secondary refrigeration systems in refrigeration</w:t>
            </w:r>
          </w:p>
          <w:p w:rsidR="00000000" w:rsidRPr="00540E3A" w:rsidP="00540E3A">
            <w:pPr>
              <w:pStyle w:val="ListBullet4"/>
            </w:pPr>
            <w:r w:rsidRPr="00540E3A">
              <w:t>introduction to secondary refrigeration</w:t>
            </w:r>
          </w:p>
          <w:p w:rsidR="00000000" w:rsidRPr="00540E3A" w:rsidP="00540E3A">
            <w:pPr>
              <w:pStyle w:val="ListBullet4"/>
            </w:pPr>
            <w:r w:rsidRPr="00540E3A">
              <w:t>applications in industrial refrigeratio</w:t>
            </w:r>
            <w:r w:rsidRPr="00540E3A">
              <w:t>n: cold storage, food processing and climatic test chamber</w:t>
            </w:r>
          </w:p>
          <w:p w:rsidR="00000000" w:rsidRPr="00540E3A" w:rsidP="00540E3A">
            <w:pPr>
              <w:pStyle w:val="ListBullet4"/>
            </w:pPr>
            <w:r w:rsidRPr="00540E3A">
              <w:t>application in commercial refrigeration: supermarkets and small commercial systems</w:t>
            </w:r>
          </w:p>
          <w:p w:rsidR="00000000" w:rsidRPr="00540E3A" w:rsidP="00540E3A">
            <w:pPr>
              <w:pStyle w:val="ListBullet4"/>
            </w:pPr>
            <w:r w:rsidRPr="00540E3A">
              <w:t>advantages and disadvantages of secondary refrigerants over the direct use of primary refrigerants</w:t>
            </w:r>
          </w:p>
          <w:p w:rsidR="00000000" w:rsidRPr="00540E3A" w:rsidP="00540E3A">
            <w:pPr>
              <w:pStyle w:val="ListBullet3"/>
            </w:pPr>
            <w:r w:rsidRPr="00540E3A">
              <w:t>properties, ap</w:t>
            </w:r>
            <w:r w:rsidRPr="00540E3A">
              <w:t>plication and limitations of available secondary refrigerants:</w:t>
            </w:r>
          </w:p>
          <w:p w:rsidR="00000000" w:rsidRPr="00540E3A" w:rsidP="00540E3A">
            <w:pPr>
              <w:pStyle w:val="ListBullet4"/>
            </w:pPr>
            <w:r w:rsidRPr="00540E3A">
              <w:t>general classification of secondary refrigerant types – single phase, volatile and phase change</w:t>
            </w:r>
          </w:p>
          <w:p w:rsidR="00000000" w:rsidRPr="00540E3A" w:rsidP="00540E3A">
            <w:pPr>
              <w:pStyle w:val="ListBullet4"/>
            </w:pPr>
            <w:r w:rsidRPr="00540E3A">
              <w:t>general types of single phase secondary refrigerants available: glycols, alcohols, brines, hydro</w:t>
            </w:r>
            <w:r w:rsidRPr="00540E3A">
              <w:t>carbons, silicone oils and water</w:t>
            </w:r>
          </w:p>
          <w:p w:rsidR="00000000" w:rsidRPr="00540E3A" w:rsidP="00540E3A">
            <w:pPr>
              <w:pStyle w:val="ListBullet4"/>
            </w:pPr>
            <w:r w:rsidRPr="00540E3A">
              <w:t>common types of volatile and phase change secondary refrigerants available: CO2 and ice slurries</w:t>
            </w:r>
          </w:p>
          <w:p w:rsidR="00000000" w:rsidRPr="00540E3A" w:rsidP="00540E3A">
            <w:pPr>
              <w:pStyle w:val="ListBullet4"/>
            </w:pPr>
            <w:r w:rsidRPr="00540E3A">
              <w:t>thermal and transport properties of most widely used single phase secondary refrigerants (MEG, PG, ethyl alcohol, CaCl2, potassium brines)</w:t>
            </w:r>
          </w:p>
          <w:p w:rsidR="00000000" w:rsidRPr="00540E3A" w:rsidP="00540E3A">
            <w:pPr>
              <w:pStyle w:val="ListBullet4"/>
            </w:pPr>
            <w:r w:rsidRPr="00540E3A">
              <w:t>pump selection for viscous fluids</w:t>
            </w:r>
          </w:p>
          <w:p w:rsidR="00000000" w:rsidRPr="00540E3A" w:rsidP="00540E3A">
            <w:pPr>
              <w:pStyle w:val="ListBullet3"/>
            </w:pPr>
            <w:r w:rsidRPr="00540E3A">
              <w:t>application concepts and principles:</w:t>
            </w:r>
          </w:p>
          <w:p w:rsidR="00000000" w:rsidRPr="00540E3A" w:rsidP="00540E3A">
            <w:pPr>
              <w:pStyle w:val="ListBullet4"/>
            </w:pPr>
            <w:r w:rsidRPr="00540E3A">
              <w:t>main and loop circuits, use of variable spee</w:t>
            </w:r>
            <w:r w:rsidRPr="00540E3A">
              <w:t>d pumps and overflow valves</w:t>
            </w:r>
          </w:p>
          <w:p w:rsidR="00000000" w:rsidRPr="00540E3A" w:rsidP="00540E3A">
            <w:pPr>
              <w:pStyle w:val="ListBullet4"/>
            </w:pPr>
            <w:r w:rsidRPr="00540E3A">
              <w:t>buffer and storage tanks, benefits and disadvantages</w:t>
            </w:r>
          </w:p>
          <w:p w:rsidR="00000000" w:rsidRPr="00540E3A" w:rsidP="00540E3A">
            <w:pPr>
              <w:pStyle w:val="ListBullet4"/>
            </w:pPr>
            <w:r w:rsidRPr="00540E3A">
              <w:t>loop temperature control and loop pump selection</w:t>
            </w:r>
          </w:p>
          <w:p w:rsidR="00000000" w:rsidRPr="00540E3A" w:rsidP="00540E3A">
            <w:pPr>
              <w:pStyle w:val="ListBullet4"/>
            </w:pPr>
            <w:r w:rsidRPr="00540E3A">
              <w:t>control valve options: regulating and on/off, two-way and three-way, mixing and diverting</w:t>
            </w:r>
          </w:p>
          <w:p w:rsidR="00000000" w:rsidRPr="00540E3A" w:rsidP="00540E3A">
            <w:pPr>
              <w:pStyle w:val="ListBullet4"/>
            </w:pPr>
            <w:r w:rsidRPr="00540E3A">
              <w:t>expansion and contraction of compone</w:t>
            </w:r>
            <w:r w:rsidRPr="00540E3A">
              <w:t>nts, compensation for pipe expansion and effect of pipe pre-insulation</w:t>
            </w:r>
          </w:p>
          <w:p w:rsidR="00000000" w:rsidRPr="00540E3A" w:rsidP="00540E3A">
            <w:pPr>
              <w:pStyle w:val="ListBullet4"/>
            </w:pPr>
            <w:r w:rsidRPr="00540E3A">
              <w:t>expansion and contraction of secondary refrigerant, use of membrane expansion tanks versus open expansion tank</w:t>
            </w:r>
          </w:p>
          <w:p w:rsidR="00000000" w:rsidRPr="00540E3A" w:rsidP="00540E3A">
            <w:pPr>
              <w:pStyle w:val="ListBullet4"/>
            </w:pPr>
            <w:r w:rsidRPr="00540E3A">
              <w:t>air purging</w:t>
            </w:r>
          </w:p>
          <w:p w:rsidR="00000000" w:rsidRPr="00540E3A" w:rsidP="00540E3A">
            <w:pPr>
              <w:pStyle w:val="ListBullet2"/>
            </w:pPr>
            <w:r w:rsidRPr="00540E3A">
              <w:t>secondary refrigeration system components and piping:</w:t>
            </w:r>
          </w:p>
          <w:p w:rsidR="00000000" w:rsidRPr="00540E3A" w:rsidP="00540E3A">
            <w:pPr>
              <w:pStyle w:val="ListBullet3"/>
            </w:pPr>
            <w:r w:rsidRPr="00540E3A">
              <w:t>corrosion and material selection:</w:t>
            </w:r>
          </w:p>
          <w:p w:rsidR="00000000" w:rsidRPr="00540E3A" w:rsidP="00540E3A">
            <w:pPr>
              <w:pStyle w:val="ListBullet4"/>
            </w:pPr>
            <w:r w:rsidRPr="00540E3A">
              <w:t>materials compatibility table</w:t>
            </w:r>
          </w:p>
          <w:p w:rsidR="00000000" w:rsidRPr="00540E3A" w:rsidP="00540E3A">
            <w:pPr>
              <w:pStyle w:val="ListBullet4"/>
            </w:pPr>
            <w:r w:rsidRPr="00540E3A">
              <w:t>thermal and other properties of materials in use</w:t>
            </w:r>
          </w:p>
          <w:p w:rsidR="00000000" w:rsidRPr="00540E3A" w:rsidP="00540E3A">
            <w:pPr>
              <w:pStyle w:val="ListBullet4"/>
            </w:pPr>
            <w:r w:rsidRPr="00540E3A">
              <w:t>pipe material and jointing methods/materials</w:t>
            </w:r>
          </w:p>
          <w:p w:rsidR="00000000" w:rsidRPr="00540E3A" w:rsidP="00540E3A">
            <w:pPr>
              <w:pStyle w:val="ListBullet4"/>
            </w:pPr>
            <w:r w:rsidRPr="00540E3A">
              <w:t>pumps, impellers and seals</w:t>
            </w:r>
          </w:p>
          <w:p w:rsidR="00000000" w:rsidRPr="00540E3A" w:rsidP="00540E3A">
            <w:pPr>
              <w:pStyle w:val="ListBullet4"/>
            </w:pPr>
            <w:r w:rsidRPr="00540E3A">
              <w:t>isolation and control valves</w:t>
            </w:r>
          </w:p>
          <w:p w:rsidR="00000000" w:rsidRPr="00540E3A" w:rsidP="00540E3A">
            <w:pPr>
              <w:pStyle w:val="ListBullet4"/>
            </w:pPr>
            <w:r w:rsidRPr="00540E3A">
              <w:t>heat exchangers</w:t>
            </w:r>
          </w:p>
          <w:p w:rsidR="00000000" w:rsidRPr="00540E3A" w:rsidP="00540E3A">
            <w:pPr>
              <w:pStyle w:val="ListBullet3"/>
            </w:pPr>
            <w:r w:rsidRPr="00540E3A">
              <w:t>pipe and insulation materials:</w:t>
            </w:r>
          </w:p>
          <w:p w:rsidR="00000000" w:rsidRPr="00540E3A" w:rsidP="00540E3A">
            <w:pPr>
              <w:pStyle w:val="ListBullet4"/>
            </w:pPr>
            <w:r w:rsidRPr="00540E3A">
              <w:t>metal pipe</w:t>
            </w:r>
          </w:p>
          <w:p w:rsidR="00000000" w:rsidRPr="00540E3A" w:rsidP="00540E3A">
            <w:pPr>
              <w:pStyle w:val="ListBullet4"/>
            </w:pPr>
            <w:r w:rsidRPr="00540E3A">
              <w:t>plastic pipe</w:t>
            </w:r>
          </w:p>
          <w:p w:rsidR="00000000" w:rsidRPr="00540E3A" w:rsidP="00540E3A">
            <w:pPr>
              <w:pStyle w:val="ListBullet4"/>
            </w:pPr>
            <w:r w:rsidRPr="00540E3A">
              <w:t>post-installation insulation (in situ foaming, formed insulation and closed cell flexible insulation)</w:t>
            </w:r>
          </w:p>
          <w:p w:rsidR="00000000" w:rsidRPr="00540E3A" w:rsidP="00540E3A">
            <w:pPr>
              <w:pStyle w:val="ListBullet4"/>
            </w:pPr>
            <w:r w:rsidRPr="00540E3A">
              <w:t>pre-insulated pipe material</w:t>
            </w:r>
          </w:p>
          <w:p w:rsidR="00000000" w:rsidRPr="00540E3A" w:rsidP="00540E3A">
            <w:pPr>
              <w:pStyle w:val="ListBullet4"/>
            </w:pPr>
            <w:r w:rsidRPr="00540E3A">
              <w:t>vapour barrier – importance and maintenance</w:t>
            </w:r>
          </w:p>
          <w:p w:rsidR="00000000" w:rsidRPr="00540E3A" w:rsidP="00540E3A">
            <w:pPr>
              <w:pStyle w:val="ListBullet3"/>
            </w:pPr>
            <w:r w:rsidRPr="00540E3A">
              <w:t>heat exchangers:</w:t>
            </w:r>
          </w:p>
          <w:p w:rsidR="00000000" w:rsidRPr="00540E3A" w:rsidP="00540E3A">
            <w:pPr>
              <w:pStyle w:val="ListBullet4"/>
            </w:pPr>
            <w:r w:rsidRPr="00540E3A">
              <w:t>plate h</w:t>
            </w:r>
            <w:r w:rsidRPr="00540E3A">
              <w:t>eat exchangers, brazed, welded, semi-welded and gasketed; design considerations in conjunction with primary refrigerant, flooded, direct expansion, and pump circulated primary refrigerant</w:t>
            </w:r>
          </w:p>
          <w:p w:rsidR="00000000" w:rsidRPr="00540E3A" w:rsidP="00540E3A">
            <w:pPr>
              <w:pStyle w:val="ListBullet4"/>
            </w:pPr>
            <w:r w:rsidRPr="00540E3A">
              <w:t>shell and tube and plate and shell heat exchangers</w:t>
            </w:r>
          </w:p>
          <w:p w:rsidR="00000000" w:rsidRPr="00540E3A" w:rsidP="00540E3A">
            <w:pPr>
              <w:pStyle w:val="ListBullet4"/>
            </w:pPr>
            <w:r w:rsidRPr="00540E3A">
              <w:t>fan coil units</w:t>
            </w:r>
          </w:p>
          <w:p w:rsidR="00000000" w:rsidRPr="00540E3A" w:rsidP="00540E3A">
            <w:pPr>
              <w:pStyle w:val="ListBullet3"/>
            </w:pPr>
            <w:r w:rsidRPr="00540E3A">
              <w:t>system control:</w:t>
            </w:r>
          </w:p>
          <w:p w:rsidR="00000000" w:rsidRPr="00540E3A" w:rsidP="00540E3A">
            <w:pPr>
              <w:pStyle w:val="ListBullet4"/>
            </w:pPr>
            <w:r w:rsidRPr="00540E3A">
              <w:t>primary pump speed and staging control</w:t>
            </w:r>
          </w:p>
          <w:p w:rsidR="00000000" w:rsidRPr="00540E3A" w:rsidP="00540E3A">
            <w:pPr>
              <w:pStyle w:val="ListBullet4"/>
            </w:pPr>
            <w:r w:rsidRPr="00540E3A">
              <w:t>maintenance of minimum flow and control valve pressure head</w:t>
            </w:r>
          </w:p>
          <w:p w:rsidR="00000000" w:rsidRPr="00540E3A" w:rsidP="00540E3A">
            <w:pPr>
              <w:pStyle w:val="ListBullet4"/>
            </w:pPr>
            <w:r w:rsidRPr="00540E3A">
              <w:t>overflow valves</w:t>
            </w:r>
          </w:p>
          <w:p w:rsidR="00000000" w:rsidRPr="00540E3A" w:rsidP="00540E3A">
            <w:pPr>
              <w:pStyle w:val="ListBullet4"/>
            </w:pPr>
            <w:r w:rsidRPr="00540E3A">
              <w:t>secondary loop temperature control</w:t>
            </w:r>
          </w:p>
          <w:p w:rsidR="00000000" w:rsidRPr="00540E3A" w:rsidP="00540E3A">
            <w:pPr>
              <w:pStyle w:val="ListBullet4"/>
            </w:pPr>
            <w:r w:rsidRPr="00540E3A">
              <w:t>room humidity and temperature control with fan-coil units</w:t>
            </w:r>
          </w:p>
          <w:p w:rsidR="00000000" w:rsidRPr="00540E3A" w:rsidP="00540E3A">
            <w:pPr>
              <w:pStyle w:val="ListBullet"/>
            </w:pPr>
            <w:r w:rsidRPr="00540E3A">
              <w:t>problem-solving techniques</w:t>
            </w:r>
          </w:p>
          <w:p w:rsidR="00000000" w:rsidRPr="00540E3A" w:rsidP="00540E3A">
            <w:pPr>
              <w:pStyle w:val="ListBullet"/>
            </w:pPr>
            <w:r w:rsidRPr="00540E3A">
              <w:t>relevant job safety assessments or risk mitigation processes</w:t>
            </w:r>
          </w:p>
          <w:p w:rsidR="00000000" w:rsidRPr="00540E3A" w:rsidP="00540E3A">
            <w:pPr>
              <w:pStyle w:val="ListBullet"/>
            </w:pPr>
            <w:r w:rsidRPr="00540E3A">
              <w:t>relevant manufacturer specifications</w:t>
            </w:r>
          </w:p>
          <w:p w:rsidR="00000000" w:rsidRPr="00540E3A" w:rsidP="00540E3A">
            <w:pPr>
              <w:pStyle w:val="ListBullet"/>
            </w:pPr>
            <w:r w:rsidRPr="00540E3A">
              <w:t>relevant WHS/OHS legislated requirements</w:t>
            </w:r>
          </w:p>
          <w:p w:rsidR="00000000" w:rsidRPr="00540E3A" w:rsidP="00540E3A">
            <w:pPr>
              <w:pStyle w:val="ListBullet"/>
            </w:pPr>
            <w:r w:rsidRPr="00540E3A">
              <w:t>relevant workplace budget, quality, policies and procedures</w:t>
            </w:r>
          </w:p>
          <w:p w:rsidR="00000000" w:rsidRPr="00540E3A" w:rsidP="00540E3A">
            <w:pPr>
              <w:pStyle w:val="ListBullet"/>
            </w:pPr>
            <w:r w:rsidRPr="00540E3A">
              <w:t>relevant workplace documentation.</w:t>
            </w:r>
          </w:p>
        </w:tc>
      </w:tr>
    </w:tbl>
    <w:p w:rsidR="00000000" w:rsidRPr="00540E3A" w:rsidP="00540E3A">
      <w:pPr>
        <w:pStyle w:val="NoPaddingFontSize1"/>
      </w:pPr>
    </w:p>
    <w:p w:rsidR="00000000" w:rsidRPr="00540E3A" w:rsidP="00540E3A">
      <w:pPr>
        <w:pStyle w:val="AllowPageBreak"/>
      </w:pPr>
    </w:p>
    <w:p w:rsidR="00000000" w:rsidRPr="00540E3A" w:rsidP="00540E3A">
      <w:pPr>
        <w:pStyle w:val="Heading1"/>
      </w:pPr>
      <w:bookmarkStart w:id="4" w:name="O_1081408"/>
      <w:bookmarkEnd w:id="4"/>
      <w:r w:rsidRPr="00540E3A">
        <w:t>As</w:t>
      </w:r>
      <w:r w:rsidRPr="00540E3A">
        <w:t>sessment Conditions</w:t>
      </w:r>
    </w:p>
    <w:tbl>
      <w:tblPr>
        <w:tblW w:w="9497" w:type="dxa"/>
        <w:tblLayout w:type="fixed"/>
        <w:tblCellMar>
          <w:left w:w="62" w:type="dxa"/>
          <w:right w:w="62" w:type="dxa"/>
        </w:tblCellMar>
        <w:tblLook w:val="0000"/>
      </w:tblPr>
      <w:tblGrid>
        <w:gridCol w:w="9497"/>
      </w:tblGrid>
      <w:tr w:rsidTr="00540E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E3A" w:rsidP="00540E3A">
            <w:pPr>
              <w:pStyle w:val="BodyText"/>
            </w:pPr>
            <w:r w:rsidRPr="00540E3A">
              <w:t>Assessors must hold credentials specified within the Standards for Registered Training Organisations current at the time of assessment.</w:t>
            </w:r>
          </w:p>
          <w:p w:rsidR="00000000" w:rsidRPr="00540E3A" w:rsidP="00540E3A">
            <w:pPr>
              <w:pStyle w:val="BodyText"/>
            </w:pPr>
            <w:r w:rsidRPr="00540E3A">
              <w:t>Assessment must satisfy the Principles of Assessment and Rules of Evidence and all regulatory requir</w:t>
            </w:r>
            <w:r w:rsidRPr="00540E3A">
              <w:t>ements included within the Standards for Registered Training Organisations current at the time of assessment.</w:t>
            </w:r>
          </w:p>
          <w:p w:rsidR="00000000" w:rsidRPr="00540E3A" w:rsidP="00540E3A">
            <w:pPr>
              <w:pStyle w:val="BodyText"/>
            </w:pPr>
            <w:r w:rsidRPr="00540E3A">
              <w:t>Assessment must occur in suitable workplace operational situations where it is appropriate to do so; where this is not appropriate, assessment mus</w:t>
            </w:r>
            <w:r w:rsidRPr="00540E3A">
              <w:t>t occur in simulated suitable workplace operational situations that replicate workplace conditions.</w:t>
            </w:r>
          </w:p>
          <w:p w:rsidR="00000000" w:rsidRPr="00540E3A" w:rsidP="00540E3A">
            <w:pPr>
              <w:pStyle w:val="BodyText"/>
            </w:pPr>
            <w:r w:rsidRPr="00540E3A">
              <w:t>Assessment processes and techniques must be appropriate to the language, literacy and numeracy requirements of the work being performed and the needs of the</w:t>
            </w:r>
            <w:r w:rsidRPr="00540E3A">
              <w:t xml:space="preserve"> candidate.</w:t>
            </w:r>
          </w:p>
          <w:p w:rsidR="00000000" w:rsidRPr="00540E3A" w:rsidP="00540E3A">
            <w:pPr>
              <w:pStyle w:val="BodyText"/>
            </w:pPr>
            <w:r w:rsidRPr="00540E3A">
              <w:t>Resources for assessment must include access to:</w:t>
            </w:r>
          </w:p>
          <w:p w:rsidR="00000000" w:rsidRPr="00540E3A" w:rsidP="00540E3A">
            <w:pPr>
              <w:pStyle w:val="ListBullet"/>
            </w:pPr>
            <w:r w:rsidRPr="00540E3A">
              <w:t>a range of relevant exercises, case studies and/or simulations</w:t>
            </w:r>
          </w:p>
          <w:p w:rsidR="00000000" w:rsidRPr="00540E3A" w:rsidP="00540E3A">
            <w:pPr>
              <w:pStyle w:val="ListBullet"/>
            </w:pPr>
            <w:r w:rsidRPr="00540E3A">
              <w:t>relevant and appropriate materials, tools, facilities and equipment currently used in industry</w:t>
            </w:r>
          </w:p>
          <w:p w:rsidR="00000000" w:rsidRPr="00540E3A" w:rsidP="00540E3A">
            <w:pPr>
              <w:pStyle w:val="ListBullet"/>
            </w:pPr>
            <w:r w:rsidRPr="00540E3A">
              <w:t>applicable documentation, including workplace procedures, equipment specifications, regulations, codes of practice and operation manuals.</w:t>
            </w:r>
          </w:p>
        </w:tc>
      </w:tr>
    </w:tbl>
    <w:p w:rsidR="00000000" w:rsidRPr="00540E3A" w:rsidP="00540E3A">
      <w:pPr>
        <w:pStyle w:val="NoPaddingFontSize1"/>
      </w:pPr>
    </w:p>
    <w:p w:rsidR="00000000" w:rsidRPr="00540E3A" w:rsidP="00540E3A">
      <w:pPr>
        <w:pStyle w:val="AllowPageBreak"/>
      </w:pPr>
    </w:p>
    <w:p w:rsidR="00000000" w:rsidRPr="00540E3A" w:rsidP="00540E3A">
      <w:pPr>
        <w:pStyle w:val="Heading1"/>
      </w:pPr>
      <w:bookmarkStart w:id="5" w:name="O_1081411"/>
      <w:bookmarkEnd w:id="5"/>
      <w:r w:rsidRPr="00540E3A">
        <w:t>Links</w:t>
      </w:r>
    </w:p>
    <w:p w:rsidR="00000000" w:rsidRPr="00540E3A" w:rsidP="00A82D2C">
      <w:pPr>
        <w:pStyle w:val="BodyText"/>
      </w:pPr>
      <w:r w:rsidRPr="00540E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6634F">
        <w:rPr>
          <w:rStyle w:val="Hyperlink"/>
        </w:rPr>
        <w:t>https://vetnet.gov.au/Pages/TrainingDocs.aspx?q=b8a8f136-5421-4ce1-92e0-2b50341431b6</w:t>
      </w:r>
      <w:r>
        <w:fldChar w:fldCharType="end"/>
      </w:r>
    </w:p>
    <w:p w:rsidR="00000000" w:rsidRPr="00540E3A" w:rsidP="00540E3A"/>
    <w:sectPr w:rsidSect="00540E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3A" w:rsidRPr="00A82D2C" w:rsidP="00A82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2C" w:rsidP="00540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D2C" w:rsidP="00540E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2D2C" w:rsidP="00540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E3A" w:rsidRPr="00A82D2C" w:rsidP="00A82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2C" w:rsidRPr="002D2AF8" w:rsidP="00540E3A">
    <w:pPr>
      <w:pStyle w:val="Header"/>
      <w:framePr w:wrap="around"/>
    </w:pPr>
    <w:r>
      <w:fldChar w:fldCharType="begin"/>
    </w:r>
    <w:r>
      <w:instrText xml:space="preserve"> TITLE   \* MERGEFORMAT </w:instrText>
    </w:r>
    <w:r>
      <w:fldChar w:fldCharType="separate"/>
    </w:r>
    <w:r>
      <w:t>Assessment Requirements for UEERA0027 Design secondary refrigerant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82D2C" w:rsidP="00540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AD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D40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00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E3A"/>
    <w:pPr>
      <w:spacing w:before="360" w:after="60"/>
      <w:outlineLvl w:val="0"/>
    </w:pPr>
    <w:rPr>
      <w:sz w:val="32"/>
    </w:rPr>
  </w:style>
  <w:style w:type="paragraph" w:styleId="Heading2">
    <w:name w:val="heading 2"/>
    <w:basedOn w:val="HeadingBase"/>
    <w:next w:val="BodyText"/>
    <w:link w:val="Heading2Char"/>
    <w:qFormat/>
    <w:rsid w:val="00540E3A"/>
    <w:pPr>
      <w:keepLines/>
      <w:spacing w:before="240" w:after="120"/>
      <w:outlineLvl w:val="1"/>
    </w:pPr>
    <w:rPr>
      <w:sz w:val="28"/>
      <w:szCs w:val="40"/>
    </w:rPr>
  </w:style>
  <w:style w:type="paragraph" w:styleId="Heading3">
    <w:name w:val="heading 3"/>
    <w:basedOn w:val="HeadingBase"/>
    <w:next w:val="BodyText"/>
    <w:link w:val="Heading3Char"/>
    <w:qFormat/>
    <w:rsid w:val="00540E3A"/>
    <w:pPr>
      <w:spacing w:before="180" w:after="120"/>
      <w:outlineLvl w:val="2"/>
    </w:pPr>
    <w:rPr>
      <w:spacing w:val="-10"/>
      <w:kern w:val="32"/>
    </w:rPr>
  </w:style>
  <w:style w:type="paragraph" w:styleId="Heading4">
    <w:name w:val="heading 4"/>
    <w:basedOn w:val="HeadingBase"/>
    <w:next w:val="BodyText"/>
    <w:link w:val="Heading4Char"/>
    <w:qFormat/>
    <w:rsid w:val="00540E3A"/>
    <w:pPr>
      <w:spacing w:before="160" w:after="120"/>
      <w:outlineLvl w:val="3"/>
    </w:pPr>
    <w:rPr>
      <w:sz w:val="22"/>
    </w:rPr>
  </w:style>
  <w:style w:type="paragraph" w:styleId="Heading5">
    <w:name w:val="heading 5"/>
    <w:basedOn w:val="HeadingBase"/>
    <w:next w:val="Normal"/>
    <w:link w:val="Heading5Char"/>
    <w:qFormat/>
    <w:rsid w:val="00540E3A"/>
    <w:pPr>
      <w:spacing w:before="80"/>
      <w:outlineLvl w:val="4"/>
    </w:pPr>
    <w:rPr>
      <w:color w:val="918585"/>
      <w:sz w:val="20"/>
    </w:rPr>
  </w:style>
  <w:style w:type="paragraph" w:styleId="Heading6">
    <w:name w:val="heading 6"/>
    <w:basedOn w:val="HeadingBase"/>
    <w:next w:val="Normal"/>
    <w:link w:val="Heading6Char"/>
    <w:qFormat/>
    <w:rsid w:val="00540E3A"/>
    <w:pPr>
      <w:spacing w:before="60"/>
      <w:outlineLvl w:val="5"/>
    </w:pPr>
    <w:rPr>
      <w:color w:val="918585"/>
      <w:sz w:val="20"/>
    </w:rPr>
  </w:style>
  <w:style w:type="paragraph" w:styleId="Heading7">
    <w:name w:val="heading 7"/>
    <w:basedOn w:val="Normal"/>
    <w:next w:val="Normal"/>
    <w:link w:val="Heading7Char"/>
    <w:qFormat/>
    <w:rsid w:val="00540E3A"/>
    <w:pPr>
      <w:ind w:left="720"/>
      <w:outlineLvl w:val="6"/>
    </w:pPr>
    <w:rPr>
      <w:i/>
    </w:rPr>
  </w:style>
  <w:style w:type="paragraph" w:styleId="Heading8">
    <w:name w:val="heading 8"/>
    <w:basedOn w:val="Normal"/>
    <w:next w:val="Normal"/>
    <w:link w:val="Heading8Char"/>
    <w:qFormat/>
    <w:rsid w:val="00540E3A"/>
    <w:pPr>
      <w:ind w:left="720"/>
      <w:outlineLvl w:val="7"/>
    </w:pPr>
    <w:rPr>
      <w:i/>
    </w:rPr>
  </w:style>
  <w:style w:type="paragraph" w:styleId="Heading9">
    <w:name w:val="heading 9"/>
    <w:basedOn w:val="Normal"/>
    <w:next w:val="Normal"/>
    <w:link w:val="Heading9Char"/>
    <w:qFormat/>
    <w:rsid w:val="00540E3A"/>
    <w:pPr>
      <w:ind w:left="720"/>
      <w:outlineLvl w:val="8"/>
    </w:pPr>
    <w:rPr>
      <w:i/>
    </w:rPr>
  </w:style>
  <w:style w:type="character" w:default="1" w:styleId="DefaultParagraphFont">
    <w:name w:val="Default Paragraph Font"/>
    <w:uiPriority w:val="1"/>
    <w:unhideWhenUsed/>
    <w:rsid w:val="00540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E3A"/>
  </w:style>
  <w:style w:type="character" w:customStyle="1" w:styleId="Heading1Char">
    <w:name w:val="Heading 1 Char"/>
    <w:basedOn w:val="DefaultParagraphFont"/>
    <w:link w:val="Heading1"/>
    <w:rsid w:val="00540E3A"/>
    <w:rPr>
      <w:rFonts w:ascii="Times New Roman" w:eastAsia="Times New Roman" w:hAnsi="Times New Roman" w:cs="Times New Roman"/>
      <w:b/>
      <w:sz w:val="32"/>
      <w:szCs w:val="20"/>
      <w:lang w:eastAsia="en-US"/>
    </w:rPr>
  </w:style>
  <w:style w:type="paragraph" w:styleId="BodyText">
    <w:name w:val="Body Text"/>
    <w:basedOn w:val="Normal"/>
    <w:link w:val="BodyTextChar"/>
    <w:rsid w:val="00540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E3A"/>
    <w:rPr>
      <w:rFonts w:ascii="Times New Roman" w:eastAsia="Times New Roman" w:hAnsi="Times New Roman" w:cs="Times New Roman"/>
      <w:sz w:val="24"/>
      <w:lang w:eastAsia="en-US"/>
    </w:rPr>
  </w:style>
  <w:style w:type="paragraph" w:styleId="ListBullet">
    <w:name w:val="List Bullet"/>
    <w:basedOn w:val="List"/>
    <w:rsid w:val="00540E3A"/>
    <w:pPr>
      <w:numPr>
        <w:numId w:val="14"/>
      </w:numPr>
      <w:tabs>
        <w:tab w:val="clear" w:pos="340"/>
      </w:tabs>
      <w:spacing w:before="40" w:after="40"/>
    </w:pPr>
  </w:style>
  <w:style w:type="paragraph" w:styleId="ListBullet2">
    <w:name w:val="List Bullet 2"/>
    <w:basedOn w:val="List2"/>
    <w:rsid w:val="00540E3A"/>
    <w:pPr>
      <w:numPr>
        <w:numId w:val="15"/>
      </w:numPr>
      <w:tabs>
        <w:tab w:val="clear" w:pos="680"/>
      </w:tabs>
    </w:pPr>
  </w:style>
  <w:style w:type="paragraph" w:customStyle="1" w:styleId="SuperHeading">
    <w:name w:val="SuperHeading"/>
    <w:basedOn w:val="Normal"/>
    <w:rsid w:val="00540E3A"/>
    <w:pPr>
      <w:spacing w:before="240" w:after="120"/>
      <w:outlineLvl w:val="0"/>
    </w:pPr>
    <w:rPr>
      <w:rFonts w:ascii="Times New Roman" w:hAnsi="Times New Roman"/>
      <w:b/>
      <w:sz w:val="32"/>
    </w:rPr>
  </w:style>
  <w:style w:type="paragraph" w:customStyle="1" w:styleId="AllowPageBreak">
    <w:name w:val="AllowPageBreak"/>
    <w:rsid w:val="00540E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0E3A"/>
    <w:pPr>
      <w:numPr>
        <w:numId w:val="3"/>
      </w:numPr>
      <w:tabs>
        <w:tab w:val="clear" w:pos="1021"/>
      </w:tabs>
      <w:ind w:left="1037" w:hanging="357"/>
    </w:pPr>
  </w:style>
  <w:style w:type="paragraph" w:styleId="ListBullet4">
    <w:name w:val="List Bullet 4"/>
    <w:basedOn w:val="List4"/>
    <w:rsid w:val="00540E3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0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E3A"/>
    <w:rPr>
      <w:rFonts w:ascii="Courier New" w:eastAsia="Times New Roman" w:hAnsi="Courier New" w:cs="Times New Roman"/>
      <w:i/>
      <w:szCs w:val="20"/>
      <w:lang w:eastAsia="en-US"/>
    </w:rPr>
  </w:style>
  <w:style w:type="paragraph" w:customStyle="1" w:styleId="HeadingBase">
    <w:name w:val="Heading Base"/>
    <w:rsid w:val="00540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E3A"/>
    <w:pPr>
      <w:tabs>
        <w:tab w:val="right" w:leader="dot" w:pos="9072"/>
      </w:tabs>
      <w:ind w:left="567"/>
    </w:pPr>
    <w:rPr>
      <w:szCs w:val="22"/>
    </w:rPr>
  </w:style>
  <w:style w:type="paragraph" w:customStyle="1" w:styleId="TOCBase">
    <w:name w:val="TOC Base"/>
    <w:rsid w:val="00540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E3A"/>
    <w:pPr>
      <w:tabs>
        <w:tab w:val="right" w:leader="dot" w:pos="9072"/>
      </w:tabs>
      <w:spacing w:before="40" w:after="40"/>
      <w:ind w:left="284"/>
    </w:pPr>
    <w:rPr>
      <w:rFonts w:ascii="Times New Roman" w:hAnsi="Times New Roman"/>
    </w:rPr>
  </w:style>
  <w:style w:type="paragraph" w:styleId="TOC1">
    <w:name w:val="toc 1"/>
    <w:basedOn w:val="TOCBase"/>
    <w:next w:val="Normal"/>
    <w:rsid w:val="00540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E3A"/>
    <w:rPr>
      <w:rFonts w:ascii="Times New Roman" w:eastAsia="Times New Roman" w:hAnsi="Times New Roman" w:cs="Times New Roman"/>
      <w:sz w:val="16"/>
      <w:lang w:eastAsia="en-US"/>
    </w:rPr>
  </w:style>
  <w:style w:type="paragraph" w:styleId="Title">
    <w:name w:val="Title"/>
    <w:basedOn w:val="HeadingBase"/>
    <w:link w:val="TitleChar"/>
    <w:qFormat/>
    <w:rsid w:val="00540E3A"/>
    <w:pPr>
      <w:spacing w:before="5040"/>
      <w:jc w:val="center"/>
    </w:pPr>
    <w:rPr>
      <w:sz w:val="48"/>
      <w:szCs w:val="72"/>
      <w:lang w:val="en-US"/>
    </w:rPr>
  </w:style>
  <w:style w:type="character" w:customStyle="1" w:styleId="TitleChar">
    <w:name w:val="Title Char"/>
    <w:basedOn w:val="DefaultParagraphFont"/>
    <w:link w:val="Title"/>
    <w:rsid w:val="00540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E3A"/>
    <w:pPr>
      <w:tabs>
        <w:tab w:val="left" w:pos="3600"/>
        <w:tab w:val="left" w:pos="3958"/>
      </w:tabs>
    </w:pPr>
  </w:style>
  <w:style w:type="paragraph" w:styleId="List">
    <w:name w:val="List"/>
    <w:basedOn w:val="BodyText"/>
    <w:next w:val="BodyText"/>
    <w:rsid w:val="00540E3A"/>
    <w:pPr>
      <w:tabs>
        <w:tab w:val="left" w:pos="340"/>
      </w:tabs>
      <w:spacing w:before="60" w:after="60"/>
      <w:ind w:left="340" w:hanging="340"/>
    </w:pPr>
  </w:style>
  <w:style w:type="paragraph" w:customStyle="1" w:styleId="Note">
    <w:name w:val="Note"/>
    <w:basedOn w:val="BodyText"/>
    <w:rsid w:val="00540E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0E3A"/>
    <w:rPr>
      <w:b/>
      <w:spacing w:val="0"/>
    </w:rPr>
  </w:style>
  <w:style w:type="paragraph" w:customStyle="1" w:styleId="SuperTitle">
    <w:name w:val="SuperTitle"/>
    <w:basedOn w:val="Title"/>
    <w:rsid w:val="00540E3A"/>
    <w:pPr>
      <w:framePr w:wrap="auto" w:hAnchor="text" w:y="6049"/>
    </w:pPr>
    <w:rPr>
      <w:color w:val="000000"/>
      <w:sz w:val="40"/>
    </w:rPr>
  </w:style>
  <w:style w:type="paragraph" w:customStyle="1" w:styleId="TOCTitle">
    <w:name w:val="TOCTitle"/>
    <w:basedOn w:val="Heading1"/>
    <w:rsid w:val="00540E3A"/>
    <w:pPr>
      <w:spacing w:after="240"/>
      <w:jc w:val="center"/>
      <w:outlineLvl w:val="9"/>
    </w:pPr>
    <w:rPr>
      <w:caps/>
    </w:rPr>
  </w:style>
  <w:style w:type="paragraph" w:customStyle="1" w:styleId="Version">
    <w:name w:val="Version"/>
    <w:rsid w:val="00540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E3A"/>
    <w:pPr>
      <w:keepNext w:val="0"/>
      <w:tabs>
        <w:tab w:val="right" w:pos="4176"/>
      </w:tabs>
      <w:ind w:left="198" w:hanging="198"/>
    </w:pPr>
    <w:rPr>
      <w:rFonts w:ascii="Garamond" w:hAnsi="Garamond"/>
    </w:rPr>
  </w:style>
  <w:style w:type="paragraph" w:styleId="IndexHeading">
    <w:name w:val="index heading"/>
    <w:basedOn w:val="Normal"/>
    <w:next w:val="Index1"/>
    <w:semiHidden/>
    <w:rsid w:val="00540E3A"/>
    <w:pPr>
      <w:spacing w:before="120" w:after="120"/>
    </w:pPr>
    <w:rPr>
      <w:rFonts w:ascii="Arial" w:hAnsi="Arial"/>
      <w:b/>
      <w:color w:val="918585"/>
      <w:sz w:val="24"/>
    </w:rPr>
  </w:style>
  <w:style w:type="paragraph" w:styleId="Header">
    <w:name w:val="header"/>
    <w:basedOn w:val="Normal"/>
    <w:link w:val="HeaderChar"/>
    <w:rsid w:val="00540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E3A"/>
    <w:rPr>
      <w:rFonts w:ascii="Times New Roman" w:eastAsia="Times New Roman" w:hAnsi="Times New Roman" w:cs="Times New Roman"/>
      <w:sz w:val="16"/>
      <w:szCs w:val="20"/>
      <w:lang w:val="en-GB" w:eastAsia="en-US"/>
    </w:rPr>
  </w:style>
  <w:style w:type="paragraph" w:customStyle="1" w:styleId="Chapter">
    <w:name w:val="Chapter"/>
    <w:basedOn w:val="Normal"/>
    <w:rsid w:val="00540E3A"/>
    <w:pPr>
      <w:spacing w:before="240"/>
    </w:pPr>
    <w:rPr>
      <w:rFonts w:ascii="Times New Roman" w:hAnsi="Times New Roman"/>
      <w:smallCaps/>
      <w:spacing w:val="80"/>
      <w:sz w:val="28"/>
    </w:rPr>
  </w:style>
  <w:style w:type="paragraph" w:customStyle="1" w:styleId="InChapter">
    <w:name w:val="InChapter"/>
    <w:basedOn w:val="Heading3"/>
    <w:rsid w:val="00540E3A"/>
    <w:pPr>
      <w:spacing w:after="240"/>
      <w:outlineLvl w:val="9"/>
    </w:pPr>
    <w:rPr>
      <w:noProof/>
    </w:rPr>
  </w:style>
  <w:style w:type="paragraph" w:styleId="Index2">
    <w:name w:val="index 2"/>
    <w:basedOn w:val="Normal"/>
    <w:next w:val="Normal"/>
    <w:semiHidden/>
    <w:rsid w:val="00540E3A"/>
    <w:pPr>
      <w:tabs>
        <w:tab w:val="right" w:pos="4176"/>
      </w:tabs>
      <w:ind w:left="568" w:hanging="284"/>
    </w:pPr>
    <w:rPr>
      <w:rFonts w:ascii="Garamond" w:hAnsi="Garamond"/>
    </w:rPr>
  </w:style>
  <w:style w:type="paragraph" w:customStyle="1" w:styleId="Byline">
    <w:name w:val="Byline"/>
    <w:rsid w:val="00540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E3A"/>
    <w:pPr>
      <w:tabs>
        <w:tab w:val="clear" w:pos="3600"/>
        <w:tab w:val="clear" w:pos="3958"/>
      </w:tabs>
      <w:jc w:val="right"/>
    </w:pPr>
  </w:style>
  <w:style w:type="character" w:styleId="Emphasis">
    <w:name w:val="Emphasis"/>
    <w:basedOn w:val="DefaultParagraphFont"/>
    <w:qFormat/>
    <w:rsid w:val="00540E3A"/>
    <w:rPr>
      <w:i/>
    </w:rPr>
  </w:style>
  <w:style w:type="paragraph" w:styleId="Caption">
    <w:name w:val="caption"/>
    <w:basedOn w:val="BodyText"/>
    <w:next w:val="Normal"/>
    <w:qFormat/>
    <w:rsid w:val="00540E3A"/>
    <w:pPr>
      <w:framePr w:w="2268" w:hSpace="181" w:vSpace="181" w:wrap="around" w:vAnchor="text" w:hAnchor="page" w:x="1135" w:y="285" w:anchorLock="1"/>
    </w:pPr>
    <w:rPr>
      <w:i/>
    </w:rPr>
  </w:style>
  <w:style w:type="paragraph" w:customStyle="1" w:styleId="MiniTOCTitle">
    <w:name w:val="MiniTOCTitle"/>
    <w:basedOn w:val="Heading4"/>
    <w:rsid w:val="00540E3A"/>
    <w:pPr>
      <w:spacing w:before="240"/>
      <w:outlineLvl w:val="9"/>
    </w:pPr>
    <w:rPr>
      <w:noProof/>
      <w:sz w:val="24"/>
    </w:rPr>
  </w:style>
  <w:style w:type="paragraph" w:customStyle="1" w:styleId="MiniTOCItem">
    <w:name w:val="MiniTOCItem"/>
    <w:basedOn w:val="ListBullet"/>
    <w:rsid w:val="00540E3A"/>
    <w:pPr>
      <w:numPr>
        <w:numId w:val="0"/>
      </w:numPr>
      <w:tabs>
        <w:tab w:val="right" w:leader="dot" w:pos="6521"/>
      </w:tabs>
      <w:spacing w:before="0" w:after="0"/>
    </w:pPr>
  </w:style>
  <w:style w:type="paragraph" w:customStyle="1" w:styleId="TOFTitle">
    <w:name w:val="TOFTitle"/>
    <w:basedOn w:val="TOCTitle"/>
    <w:rsid w:val="00540E3A"/>
  </w:style>
  <w:style w:type="paragraph" w:styleId="TableofFigures">
    <w:name w:val="table of figures"/>
    <w:basedOn w:val="Normal"/>
    <w:next w:val="Normal"/>
    <w:semiHidden/>
    <w:rsid w:val="00540E3A"/>
    <w:pPr>
      <w:tabs>
        <w:tab w:val="right" w:leader="dot" w:pos="9072"/>
      </w:tabs>
      <w:ind w:left="970" w:hanging="403"/>
    </w:pPr>
    <w:rPr>
      <w:rFonts w:ascii="Times New Roman" w:hAnsi="Times New Roman"/>
      <w:b/>
    </w:rPr>
  </w:style>
  <w:style w:type="paragraph" w:styleId="ListNumber">
    <w:name w:val="List Number"/>
    <w:basedOn w:val="List"/>
    <w:rsid w:val="00540E3A"/>
    <w:pPr>
      <w:numPr>
        <w:numId w:val="17"/>
      </w:numPr>
      <w:tabs>
        <w:tab w:val="clear" w:pos="340"/>
      </w:tabs>
    </w:pPr>
  </w:style>
  <w:style w:type="character" w:customStyle="1" w:styleId="WingdingSymbols">
    <w:name w:val="Wingding Symbols"/>
    <w:rsid w:val="00540E3A"/>
    <w:rPr>
      <w:rFonts w:ascii="Wingdings" w:hAnsi="Wingdings"/>
    </w:rPr>
  </w:style>
  <w:style w:type="paragraph" w:customStyle="1" w:styleId="TableHeading">
    <w:name w:val="Table Heading"/>
    <w:basedOn w:val="HeadingBase"/>
    <w:rsid w:val="00540E3A"/>
    <w:pPr>
      <w:keepLines/>
      <w:pBdr>
        <w:bottom w:val="single" w:sz="6" w:space="1" w:color="918585"/>
      </w:pBdr>
      <w:spacing w:before="240"/>
    </w:pPr>
  </w:style>
  <w:style w:type="character" w:customStyle="1" w:styleId="HotSpot">
    <w:name w:val="HotSpot"/>
    <w:rsid w:val="00540E3A"/>
    <w:rPr>
      <w:color w:val="0033CC"/>
      <w:u w:val="none"/>
    </w:rPr>
  </w:style>
  <w:style w:type="paragraph" w:customStyle="1" w:styleId="BodyTextRight">
    <w:name w:val="Body Text Right"/>
    <w:basedOn w:val="BodyText"/>
    <w:rsid w:val="00540E3A"/>
    <w:pPr>
      <w:spacing w:before="0" w:after="0"/>
      <w:jc w:val="right"/>
    </w:pPr>
  </w:style>
  <w:style w:type="paragraph" w:styleId="Index3">
    <w:name w:val="index 3"/>
    <w:basedOn w:val="ListNumber2"/>
    <w:next w:val="Normal"/>
    <w:semiHidden/>
    <w:rsid w:val="00540E3A"/>
    <w:pPr>
      <w:numPr>
        <w:numId w:val="0"/>
      </w:numPr>
      <w:tabs>
        <w:tab w:val="right" w:leader="dot" w:pos="4176"/>
      </w:tabs>
    </w:pPr>
  </w:style>
  <w:style w:type="paragraph" w:styleId="ListNumber2">
    <w:name w:val="List Number 2"/>
    <w:basedOn w:val="List2"/>
    <w:rsid w:val="00540E3A"/>
    <w:pPr>
      <w:numPr>
        <w:numId w:val="12"/>
      </w:numPr>
      <w:tabs>
        <w:tab w:val="clear" w:pos="1060"/>
      </w:tabs>
    </w:pPr>
  </w:style>
  <w:style w:type="paragraph" w:customStyle="1" w:styleId="MarginNote">
    <w:name w:val="Margin Note"/>
    <w:basedOn w:val="BodyText"/>
    <w:rsid w:val="00540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E3A"/>
    <w:rPr>
      <w:sz w:val="32"/>
    </w:rPr>
  </w:style>
  <w:style w:type="paragraph" w:customStyle="1" w:styleId="HeadingProcedure">
    <w:name w:val="Heading Procedure"/>
    <w:basedOn w:val="HeadingBase"/>
    <w:next w:val="Normal"/>
    <w:rsid w:val="00540E3A"/>
    <w:pPr>
      <w:tabs>
        <w:tab w:val="left" w:pos="0"/>
      </w:tabs>
      <w:spacing w:before="120" w:after="60"/>
    </w:pPr>
    <w:rPr>
      <w:i/>
      <w:color w:val="918585"/>
      <w:sz w:val="22"/>
    </w:rPr>
  </w:style>
  <w:style w:type="paragraph" w:customStyle="1" w:styleId="TableBodyText">
    <w:name w:val="Table Body Text"/>
    <w:basedOn w:val="BodyText"/>
    <w:rsid w:val="00540E3A"/>
    <w:pPr>
      <w:spacing w:before="60" w:after="60"/>
    </w:pPr>
  </w:style>
  <w:style w:type="paragraph" w:styleId="ListContinue">
    <w:name w:val="List Continue"/>
    <w:basedOn w:val="List"/>
    <w:rsid w:val="00540E3A"/>
    <w:pPr>
      <w:ind w:firstLine="0"/>
    </w:pPr>
  </w:style>
  <w:style w:type="paragraph" w:customStyle="1" w:styleId="ListNote">
    <w:name w:val="List Note"/>
    <w:basedOn w:val="List"/>
    <w:rsid w:val="00540E3A"/>
    <w:pPr>
      <w:pBdr>
        <w:top w:val="single" w:sz="6" w:space="2" w:color="918585"/>
        <w:bottom w:val="single" w:sz="6" w:space="2" w:color="918585"/>
      </w:pBdr>
      <w:tabs>
        <w:tab w:val="left" w:pos="1021"/>
      </w:tabs>
      <w:ind w:firstLine="0"/>
    </w:pPr>
  </w:style>
  <w:style w:type="paragraph" w:customStyle="1" w:styleId="Warning">
    <w:name w:val="Warning"/>
    <w:basedOn w:val="BodyText"/>
    <w:rsid w:val="00540E3A"/>
    <w:pPr>
      <w:shd w:val="clear" w:color="auto" w:fill="D9D9D9"/>
      <w:tabs>
        <w:tab w:val="left" w:pos="992"/>
      </w:tabs>
      <w:ind w:left="119" w:right="119"/>
    </w:pPr>
    <w:rPr>
      <w:sz w:val="20"/>
    </w:rPr>
  </w:style>
  <w:style w:type="paragraph" w:customStyle="1" w:styleId="MarginIcons">
    <w:name w:val="Margin Icons"/>
    <w:basedOn w:val="BodyText"/>
    <w:rsid w:val="00540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E3A"/>
    <w:rPr>
      <w:rFonts w:ascii="Courier New" w:hAnsi="Courier New"/>
    </w:rPr>
  </w:style>
  <w:style w:type="paragraph" w:customStyle="1" w:styleId="NoteBullet">
    <w:name w:val="Note Bullet"/>
    <w:basedOn w:val="Note"/>
    <w:rsid w:val="00540E3A"/>
    <w:pPr>
      <w:tabs>
        <w:tab w:val="clear" w:pos="680"/>
      </w:tabs>
      <w:spacing w:before="60" w:after="60"/>
    </w:pPr>
  </w:style>
  <w:style w:type="paragraph" w:customStyle="1" w:styleId="SubHeading2">
    <w:name w:val="SubHeading2"/>
    <w:basedOn w:val="HeadingBase"/>
    <w:rsid w:val="00540E3A"/>
    <w:pPr>
      <w:spacing w:before="240" w:after="60"/>
    </w:pPr>
    <w:rPr>
      <w:sz w:val="20"/>
    </w:rPr>
  </w:style>
  <w:style w:type="paragraph" w:customStyle="1" w:styleId="SubHeading1">
    <w:name w:val="SubHeading1"/>
    <w:basedOn w:val="HeadingBase"/>
    <w:rsid w:val="00540E3A"/>
    <w:pPr>
      <w:spacing w:before="240" w:after="60"/>
    </w:pPr>
    <w:rPr>
      <w:color w:val="918585"/>
      <w:sz w:val="22"/>
    </w:rPr>
  </w:style>
  <w:style w:type="paragraph" w:customStyle="1" w:styleId="SideHeading">
    <w:name w:val="Side Heading"/>
    <w:basedOn w:val="HeadingBase"/>
    <w:rsid w:val="00540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E3A"/>
    <w:pPr>
      <w:numPr>
        <w:numId w:val="13"/>
      </w:numPr>
    </w:pPr>
  </w:style>
  <w:style w:type="paragraph" w:styleId="PlainText">
    <w:name w:val="Plain Text"/>
    <w:basedOn w:val="Normal"/>
    <w:link w:val="PlainTextChar"/>
    <w:rsid w:val="00540E3A"/>
    <w:rPr>
      <w:sz w:val="20"/>
    </w:rPr>
  </w:style>
  <w:style w:type="character" w:customStyle="1" w:styleId="PlainTextChar">
    <w:name w:val="Plain Text Char"/>
    <w:basedOn w:val="DefaultParagraphFont"/>
    <w:link w:val="PlainText"/>
    <w:rsid w:val="00540E3A"/>
    <w:rPr>
      <w:rFonts w:ascii="Courier New" w:eastAsia="Times New Roman" w:hAnsi="Courier New" w:cs="Times New Roman"/>
      <w:sz w:val="20"/>
      <w:szCs w:val="20"/>
      <w:lang w:eastAsia="en-US"/>
    </w:rPr>
  </w:style>
  <w:style w:type="character" w:customStyle="1" w:styleId="MenuOption">
    <w:name w:val="Menu Option"/>
    <w:basedOn w:val="DefaultParagraphFont"/>
    <w:rsid w:val="00540E3A"/>
    <w:rPr>
      <w:b/>
      <w:smallCaps/>
    </w:rPr>
  </w:style>
  <w:style w:type="paragraph" w:customStyle="1" w:styleId="TableListNumber">
    <w:name w:val="Table List Number"/>
    <w:basedOn w:val="ListNumber"/>
    <w:rsid w:val="00540E3A"/>
    <w:pPr>
      <w:numPr>
        <w:numId w:val="0"/>
      </w:numPr>
    </w:pPr>
  </w:style>
  <w:style w:type="paragraph" w:styleId="TOC4">
    <w:name w:val="toc 4"/>
    <w:basedOn w:val="TOCBase"/>
    <w:next w:val="Normal"/>
    <w:semiHidden/>
    <w:rsid w:val="00540E3A"/>
    <w:pPr>
      <w:tabs>
        <w:tab w:val="right" w:leader="dot" w:pos="9071"/>
      </w:tabs>
      <w:ind w:left="1701"/>
    </w:pPr>
  </w:style>
  <w:style w:type="paragraph" w:customStyle="1" w:styleId="ListAlpha">
    <w:name w:val="List Alpha"/>
    <w:basedOn w:val="List"/>
    <w:rsid w:val="00540E3A"/>
    <w:pPr>
      <w:numPr>
        <w:numId w:val="11"/>
      </w:numPr>
    </w:pPr>
  </w:style>
  <w:style w:type="paragraph" w:customStyle="1" w:styleId="ListAlpha2">
    <w:name w:val="List Alpha 2"/>
    <w:basedOn w:val="List2"/>
    <w:rsid w:val="00540E3A"/>
    <w:pPr>
      <w:numPr>
        <w:numId w:val="10"/>
      </w:numPr>
    </w:pPr>
  </w:style>
  <w:style w:type="paragraph" w:styleId="List2">
    <w:name w:val="List 2"/>
    <w:basedOn w:val="BodyText"/>
    <w:rsid w:val="00540E3A"/>
    <w:pPr>
      <w:tabs>
        <w:tab w:val="left" w:pos="680"/>
      </w:tabs>
      <w:spacing w:before="60" w:after="60"/>
      <w:ind w:left="680" w:hanging="340"/>
    </w:pPr>
  </w:style>
  <w:style w:type="paragraph" w:styleId="List3">
    <w:name w:val="List 3"/>
    <w:basedOn w:val="BodyText"/>
    <w:rsid w:val="00540E3A"/>
    <w:pPr>
      <w:tabs>
        <w:tab w:val="left" w:pos="1021"/>
      </w:tabs>
      <w:spacing w:before="60" w:after="60"/>
      <w:ind w:left="1020" w:hanging="340"/>
    </w:pPr>
  </w:style>
  <w:style w:type="paragraph" w:styleId="List4">
    <w:name w:val="List 4"/>
    <w:basedOn w:val="BodyText"/>
    <w:rsid w:val="00540E3A"/>
    <w:pPr>
      <w:tabs>
        <w:tab w:val="left" w:pos="1361"/>
      </w:tabs>
      <w:spacing w:before="60" w:after="60"/>
      <w:ind w:left="1361" w:hanging="340"/>
    </w:pPr>
  </w:style>
  <w:style w:type="paragraph" w:styleId="List5">
    <w:name w:val="List 5"/>
    <w:basedOn w:val="BodyText"/>
    <w:rsid w:val="00540E3A"/>
    <w:pPr>
      <w:tabs>
        <w:tab w:val="left" w:pos="1701"/>
      </w:tabs>
      <w:spacing w:before="60" w:after="60"/>
      <w:ind w:left="1701" w:hanging="340"/>
    </w:pPr>
  </w:style>
  <w:style w:type="paragraph" w:styleId="ListBullet5">
    <w:name w:val="List Bullet 5"/>
    <w:basedOn w:val="List5"/>
    <w:rsid w:val="00540E3A"/>
    <w:pPr>
      <w:numPr>
        <w:numId w:val="6"/>
      </w:numPr>
    </w:pPr>
  </w:style>
  <w:style w:type="paragraph" w:styleId="ListContinue2">
    <w:name w:val="List Continue 2"/>
    <w:basedOn w:val="List2"/>
    <w:rsid w:val="00540E3A"/>
    <w:pPr>
      <w:ind w:firstLine="0"/>
    </w:pPr>
  </w:style>
  <w:style w:type="paragraph" w:styleId="ListContinue3">
    <w:name w:val="List Continue 3"/>
    <w:basedOn w:val="List3"/>
    <w:rsid w:val="00540E3A"/>
    <w:pPr>
      <w:ind w:left="1021" w:firstLine="0"/>
    </w:pPr>
  </w:style>
  <w:style w:type="paragraph" w:styleId="ListContinue4">
    <w:name w:val="List Continue 4"/>
    <w:basedOn w:val="List4"/>
    <w:rsid w:val="00540E3A"/>
    <w:pPr>
      <w:ind w:firstLine="0"/>
    </w:pPr>
  </w:style>
  <w:style w:type="paragraph" w:styleId="ListContinue5">
    <w:name w:val="List Continue 5"/>
    <w:basedOn w:val="List5"/>
    <w:rsid w:val="00540E3A"/>
    <w:pPr>
      <w:ind w:firstLine="0"/>
    </w:pPr>
  </w:style>
  <w:style w:type="paragraph" w:styleId="ListNumber3">
    <w:name w:val="List Number 3"/>
    <w:basedOn w:val="List3"/>
    <w:rsid w:val="00540E3A"/>
    <w:pPr>
      <w:numPr>
        <w:numId w:val="7"/>
      </w:numPr>
    </w:pPr>
  </w:style>
  <w:style w:type="paragraph" w:styleId="ListNumber4">
    <w:name w:val="List Number 4"/>
    <w:basedOn w:val="List4"/>
    <w:rsid w:val="00540E3A"/>
    <w:pPr>
      <w:numPr>
        <w:numId w:val="8"/>
      </w:numPr>
    </w:pPr>
  </w:style>
  <w:style w:type="paragraph" w:styleId="ListNumber5">
    <w:name w:val="List Number 5"/>
    <w:basedOn w:val="List5"/>
    <w:rsid w:val="00540E3A"/>
    <w:pPr>
      <w:numPr>
        <w:numId w:val="9"/>
      </w:numPr>
    </w:pPr>
  </w:style>
  <w:style w:type="paragraph" w:styleId="BlockText">
    <w:name w:val="Block Text"/>
    <w:basedOn w:val="Normal"/>
    <w:rsid w:val="00540E3A"/>
    <w:pPr>
      <w:spacing w:after="120"/>
      <w:ind w:left="1440" w:right="1440"/>
    </w:pPr>
  </w:style>
  <w:style w:type="character" w:customStyle="1" w:styleId="Subscript">
    <w:name w:val="Subscript"/>
    <w:basedOn w:val="DefaultParagraphFont"/>
    <w:rsid w:val="00540E3A"/>
    <w:rPr>
      <w:sz w:val="16"/>
      <w:vertAlign w:val="subscript"/>
    </w:rPr>
  </w:style>
  <w:style w:type="character" w:customStyle="1" w:styleId="Superscript">
    <w:name w:val="Superscript"/>
    <w:basedOn w:val="DefaultParagraphFont"/>
    <w:rsid w:val="00540E3A"/>
    <w:rPr>
      <w:sz w:val="16"/>
      <w:vertAlign w:val="superscript"/>
    </w:rPr>
  </w:style>
  <w:style w:type="character" w:customStyle="1" w:styleId="Symbols">
    <w:name w:val="Symbols"/>
    <w:basedOn w:val="DefaultParagraphFont"/>
    <w:rsid w:val="00540E3A"/>
    <w:rPr>
      <w:rFonts w:ascii="Symbol" w:hAnsi="Symbol"/>
    </w:rPr>
  </w:style>
  <w:style w:type="character" w:customStyle="1" w:styleId="MenuOptions">
    <w:name w:val="Menu Options"/>
    <w:basedOn w:val="DefaultParagraphFont"/>
    <w:rsid w:val="00540E3A"/>
    <w:rPr>
      <w:rFonts w:ascii="Arial Narrow" w:hAnsi="Arial Narrow"/>
      <w:smallCaps/>
    </w:rPr>
  </w:style>
  <w:style w:type="character" w:customStyle="1" w:styleId="Buttons">
    <w:name w:val="Buttons"/>
    <w:basedOn w:val="DefaultParagraphFont"/>
    <w:rsid w:val="00540E3A"/>
    <w:rPr>
      <w:b/>
    </w:rPr>
  </w:style>
  <w:style w:type="character" w:customStyle="1" w:styleId="Underlined">
    <w:name w:val="Underlined"/>
    <w:basedOn w:val="DefaultParagraphFont"/>
    <w:rsid w:val="00540E3A"/>
    <w:rPr>
      <w:u w:val="single"/>
    </w:rPr>
  </w:style>
  <w:style w:type="paragraph" w:customStyle="1" w:styleId="TableBodyTextRight">
    <w:name w:val="Table Body Text Right"/>
    <w:basedOn w:val="TableBodyText"/>
    <w:rsid w:val="00540E3A"/>
    <w:pPr>
      <w:widowControl w:val="0"/>
      <w:autoSpaceDE w:val="0"/>
      <w:autoSpaceDN w:val="0"/>
      <w:adjustRightInd w:val="0"/>
      <w:jc w:val="right"/>
    </w:pPr>
    <w:rPr>
      <w:rFonts w:cs="Arial"/>
      <w:szCs w:val="18"/>
    </w:rPr>
  </w:style>
  <w:style w:type="paragraph" w:customStyle="1" w:styleId="CopyrightText">
    <w:name w:val="Copyright Text"/>
    <w:basedOn w:val="BodyText"/>
    <w:rsid w:val="00540E3A"/>
    <w:rPr>
      <w:sz w:val="18"/>
    </w:rPr>
  </w:style>
  <w:style w:type="paragraph" w:customStyle="1" w:styleId="BodySmallRight">
    <w:name w:val="Body Small Right"/>
    <w:basedOn w:val="BodyTextRight"/>
    <w:rsid w:val="00540E3A"/>
    <w:rPr>
      <w:sz w:val="18"/>
      <w:szCs w:val="18"/>
    </w:rPr>
  </w:style>
  <w:style w:type="paragraph" w:customStyle="1" w:styleId="MarginEdition">
    <w:name w:val="Margin Edition"/>
    <w:basedOn w:val="MarginNote"/>
    <w:rsid w:val="00540E3A"/>
    <w:pPr>
      <w:spacing w:before="0" w:after="0"/>
    </w:pPr>
    <w:rPr>
      <w:rFonts w:ascii="Times New Roman" w:hAnsi="Times New Roman"/>
      <w:color w:val="999999"/>
    </w:rPr>
  </w:style>
  <w:style w:type="paragraph" w:customStyle="1" w:styleId="Spacer">
    <w:name w:val="Spacer"/>
    <w:basedOn w:val="Normal"/>
    <w:rsid w:val="00540E3A"/>
    <w:rPr>
      <w:sz w:val="2"/>
      <w:szCs w:val="2"/>
    </w:rPr>
  </w:style>
  <w:style w:type="character" w:customStyle="1" w:styleId="Small">
    <w:name w:val="Small"/>
    <w:basedOn w:val="DefaultParagraphFont"/>
    <w:rsid w:val="00540E3A"/>
    <w:rPr>
      <w:sz w:val="16"/>
    </w:rPr>
  </w:style>
  <w:style w:type="paragraph" w:customStyle="1" w:styleId="WideTable">
    <w:name w:val="Wide Table"/>
    <w:basedOn w:val="Normal"/>
    <w:rsid w:val="00540E3A"/>
    <w:pPr>
      <w:ind w:left="-1418"/>
    </w:pPr>
    <w:rPr>
      <w:sz w:val="2"/>
      <w:szCs w:val="2"/>
    </w:rPr>
  </w:style>
  <w:style w:type="character" w:styleId="PageNumber">
    <w:name w:val="page number"/>
    <w:basedOn w:val="DefaultParagraphFont"/>
    <w:rsid w:val="00540E3A"/>
  </w:style>
  <w:style w:type="paragraph" w:styleId="Quote">
    <w:name w:val="Quote"/>
    <w:basedOn w:val="Heading1"/>
    <w:link w:val="QuoteChar"/>
    <w:qFormat/>
    <w:rsid w:val="00540E3A"/>
    <w:rPr>
      <w:b w:val="0"/>
      <w:sz w:val="72"/>
      <w:szCs w:val="72"/>
      <w:lang w:val="en-NZ"/>
    </w:rPr>
  </w:style>
  <w:style w:type="character" w:customStyle="1" w:styleId="QuoteChar">
    <w:name w:val="Quote Char"/>
    <w:basedOn w:val="DefaultParagraphFont"/>
    <w:link w:val="Quote"/>
    <w:rsid w:val="00540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E3A"/>
    <w:pPr>
      <w:pageBreakBefore/>
    </w:pPr>
  </w:style>
  <w:style w:type="paragraph" w:customStyle="1" w:styleId="Border">
    <w:name w:val="Border"/>
    <w:basedOn w:val="Normal"/>
    <w:qFormat/>
    <w:rsid w:val="00540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E3A"/>
    <w:rPr>
      <w:b/>
      <w:bCs/>
      <w:i/>
      <w:iCs/>
      <w:color w:val="auto"/>
    </w:rPr>
  </w:style>
  <w:style w:type="paragraph" w:styleId="IntenseQuote">
    <w:name w:val="Intense Quote"/>
    <w:basedOn w:val="Normal"/>
    <w:next w:val="Normal"/>
    <w:link w:val="IntenseQuoteChar"/>
    <w:uiPriority w:val="30"/>
    <w:qFormat/>
    <w:rsid w:val="00540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E3A"/>
    <w:rPr>
      <w:smallCaps/>
      <w:color w:val="auto"/>
      <w:u w:val="single"/>
    </w:rPr>
  </w:style>
  <w:style w:type="character" w:styleId="IntenseReference">
    <w:name w:val="Intense Reference"/>
    <w:basedOn w:val="DefaultParagraphFont"/>
    <w:uiPriority w:val="32"/>
    <w:qFormat/>
    <w:rsid w:val="00540E3A"/>
    <w:rPr>
      <w:b/>
      <w:bCs/>
      <w:smallCaps/>
      <w:color w:val="auto"/>
      <w:spacing w:val="5"/>
      <w:u w:val="single"/>
    </w:rPr>
  </w:style>
  <w:style w:type="paragraph" w:customStyle="1" w:styleId="2ColumnHeading">
    <w:name w:val="2Column Heading"/>
    <w:basedOn w:val="BodyText"/>
    <w:qFormat/>
    <w:rsid w:val="00540E3A"/>
    <w:pPr>
      <w:spacing w:after="60"/>
      <w:ind w:left="-2268"/>
    </w:pPr>
    <w:rPr>
      <w:b/>
    </w:rPr>
  </w:style>
  <w:style w:type="paragraph" w:customStyle="1" w:styleId="Heading1TOC">
    <w:name w:val="Heading1 TOC"/>
    <w:basedOn w:val="Normal"/>
    <w:qFormat/>
    <w:rsid w:val="00540E3A"/>
    <w:pPr>
      <w:spacing w:before="240" w:after="120"/>
    </w:pPr>
    <w:rPr>
      <w:rFonts w:ascii="Times New Roman" w:hAnsi="Times New Roman"/>
      <w:b/>
      <w:sz w:val="32"/>
    </w:rPr>
  </w:style>
  <w:style w:type="paragraph" w:customStyle="1" w:styleId="Heading2TOC">
    <w:name w:val="Heading2 TOC"/>
    <w:basedOn w:val="Normal"/>
    <w:qFormat/>
    <w:rsid w:val="00540E3A"/>
    <w:pPr>
      <w:spacing w:before="240" w:after="60"/>
    </w:pPr>
    <w:rPr>
      <w:rFonts w:ascii="Times New Roman" w:hAnsi="Times New Roman"/>
      <w:b/>
      <w:sz w:val="28"/>
    </w:rPr>
  </w:style>
  <w:style w:type="character" w:customStyle="1" w:styleId="Underline">
    <w:name w:val="Underline"/>
    <w:basedOn w:val="DefaultParagraphFont"/>
    <w:qFormat/>
    <w:rsid w:val="00540E3A"/>
    <w:rPr>
      <w:u w:val="single"/>
    </w:rPr>
  </w:style>
  <w:style w:type="character" w:customStyle="1" w:styleId="BoldandItalics">
    <w:name w:val="Bold and Italics"/>
    <w:qFormat/>
    <w:rsid w:val="00540E3A"/>
    <w:rPr>
      <w:b/>
      <w:i/>
      <w:u w:val="none"/>
    </w:rPr>
  </w:style>
  <w:style w:type="paragraph" w:styleId="BalloonText">
    <w:name w:val="Balloon Text"/>
    <w:basedOn w:val="Normal"/>
    <w:link w:val="BalloonTextChar"/>
    <w:rsid w:val="00540E3A"/>
    <w:rPr>
      <w:rFonts w:ascii="Tahoma" w:hAnsi="Tahoma" w:cs="Tahoma"/>
      <w:sz w:val="16"/>
      <w:szCs w:val="16"/>
    </w:rPr>
  </w:style>
  <w:style w:type="character" w:customStyle="1" w:styleId="BalloonTextChar">
    <w:name w:val="Balloon Text Char"/>
    <w:basedOn w:val="DefaultParagraphFont"/>
    <w:link w:val="BalloonText"/>
    <w:rsid w:val="00540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E3A"/>
    <w:rPr>
      <w:b/>
      <w:color w:val="660033"/>
      <w:spacing w:val="0"/>
    </w:rPr>
  </w:style>
  <w:style w:type="paragraph" w:customStyle="1" w:styleId="Nameditemlist">
    <w:name w:val="Named item list"/>
    <w:basedOn w:val="BodyText"/>
    <w:qFormat/>
    <w:rsid w:val="00540E3A"/>
    <w:pPr>
      <w:tabs>
        <w:tab w:val="left" w:pos="2835"/>
      </w:tabs>
      <w:ind w:left="2835" w:hanging="2835"/>
    </w:pPr>
  </w:style>
  <w:style w:type="paragraph" w:customStyle="1" w:styleId="BodyTextnopadding">
    <w:name w:val="Body Text no padding"/>
    <w:basedOn w:val="BodyText"/>
    <w:qFormat/>
    <w:rsid w:val="00540E3A"/>
    <w:pPr>
      <w:spacing w:before="0" w:after="0"/>
    </w:pPr>
  </w:style>
  <w:style w:type="paragraph" w:customStyle="1" w:styleId="BodyTextBold">
    <w:name w:val="Body Text Bold"/>
    <w:basedOn w:val="BodyText"/>
    <w:qFormat/>
    <w:rsid w:val="00540E3A"/>
    <w:rPr>
      <w:b/>
    </w:rPr>
  </w:style>
  <w:style w:type="character" w:styleId="Hyperlink">
    <w:name w:val="Hyperlink"/>
    <w:basedOn w:val="DefaultParagraphFont"/>
    <w:uiPriority w:val="99"/>
    <w:unhideWhenUsed/>
    <w:rsid w:val="00A82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5362</Characters>
  <Application>Microsoft Office Word</Application>
  <DocSecurity>0</DocSecurity>
  <Lines>134</Lines>
  <Paragraphs>102</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UEERA0027 Design secondary refrigerant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