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D7533" w:rsidP="00DD7533">
      <w:pPr>
        <w:pStyle w:val="Title"/>
      </w:pPr>
      <w:r>
        <w:fldChar w:fldCharType="begin"/>
      </w:r>
      <w:r>
        <w:instrText xml:space="preserve"> TITLE   \* MERGEFORMAT </w:instrText>
      </w:r>
      <w:r>
        <w:fldChar w:fldCharType="separate"/>
      </w:r>
      <w:r>
        <w:t>Assessment Requirements for UEERA0025 Design industrial refrigeration systems and select components</w:t>
      </w:r>
      <w:r>
        <w:fldChar w:fldCharType="end"/>
      </w:r>
    </w:p>
    <w:p w:rsidR="00DD7533" w:rsidP="00DD7533">
      <w:pPr>
        <w:pStyle w:val="Version"/>
        <w:sectPr w:rsidSect="00142C9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42C9E" w:rsidP="00142C9E">
      <w:pPr>
        <w:pStyle w:val="SuperHeading"/>
      </w:pPr>
      <w:r w:rsidRPr="00142C9E">
        <w:t>Assessment Requirements for UEERA0025 Design industrial refrigeration systems and select components</w:t>
      </w:r>
    </w:p>
    <w:p w:rsidR="00000000" w:rsidRPr="00142C9E" w:rsidP="00142C9E">
      <w:pPr>
        <w:pStyle w:val="Heading1"/>
      </w:pPr>
      <w:bookmarkStart w:id="1" w:name="O_1082336"/>
      <w:bookmarkEnd w:id="1"/>
      <w:r w:rsidRPr="00142C9E">
        <w:t>Modification History</w:t>
      </w:r>
    </w:p>
    <w:tbl>
      <w:tblPr>
        <w:tblW w:w="9497" w:type="dxa"/>
        <w:tblLayout w:type="fixed"/>
        <w:tblCellMar>
          <w:left w:w="62" w:type="dxa"/>
          <w:right w:w="62" w:type="dxa"/>
        </w:tblCellMar>
        <w:tblLook w:val="0000"/>
      </w:tblPr>
      <w:tblGrid>
        <w:gridCol w:w="9497"/>
      </w:tblGrid>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C9E" w:rsidP="00142C9E">
            <w:pPr>
              <w:pStyle w:val="BodyText"/>
            </w:pPr>
            <w:r w:rsidRPr="00142C9E">
              <w:t>Release 1. This is the first release of this unit of competency in the UEE Electrotechnology Training Package.</w:t>
            </w:r>
          </w:p>
        </w:tc>
      </w:tr>
    </w:tbl>
    <w:p w:rsidR="00000000" w:rsidRPr="00142C9E" w:rsidP="00142C9E">
      <w:pPr>
        <w:pStyle w:val="NoPaddingFontSize1"/>
      </w:pPr>
    </w:p>
    <w:p w:rsidR="00000000" w:rsidRPr="00142C9E" w:rsidP="00142C9E">
      <w:pPr>
        <w:pStyle w:val="AllowPageBreak"/>
      </w:pPr>
    </w:p>
    <w:p w:rsidR="00000000" w:rsidRPr="00142C9E" w:rsidP="00142C9E">
      <w:pPr>
        <w:pStyle w:val="Heading1"/>
      </w:pPr>
      <w:bookmarkStart w:id="2" w:name="O_1082337"/>
      <w:bookmarkEnd w:id="2"/>
      <w:r w:rsidRPr="00142C9E">
        <w:t>Performance Evidence</w:t>
      </w:r>
    </w:p>
    <w:tbl>
      <w:tblPr>
        <w:tblW w:w="9497" w:type="dxa"/>
        <w:tblLayout w:type="fixed"/>
        <w:tblCellMar>
          <w:left w:w="62" w:type="dxa"/>
          <w:right w:w="62" w:type="dxa"/>
        </w:tblCellMar>
        <w:tblLook w:val="0000"/>
      </w:tblPr>
      <w:tblGrid>
        <w:gridCol w:w="9497"/>
      </w:tblGrid>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C9E">
            <w:pPr>
              <w:pStyle w:val="BodyText"/>
              <w:rPr>
                <w:lang w:val="en-NZ"/>
              </w:rPr>
            </w:pPr>
            <w:r w:rsidRPr="00142C9E">
              <w:t>Evidence required to demonstrate competence in this unit must be relevant to and satisfy all of the requirements of the elements, performance criteria and range of conditions on at least one occasion and include:</w:t>
            </w:r>
          </w:p>
        </w:tc>
      </w:tr>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C9E" w:rsidP="00142C9E">
            <w:pPr>
              <w:pStyle w:val="ListBullet"/>
            </w:pPr>
            <w:r w:rsidRPr="00142C9E">
              <w:t>un</w:t>
            </w:r>
            <w:r w:rsidRPr="00142C9E">
              <w:t>derstanding required operating functions and parameters from the design specification</w:t>
            </w:r>
          </w:p>
          <w:p w:rsidR="00000000" w:rsidRPr="00142C9E" w:rsidP="00142C9E">
            <w:pPr>
              <w:pStyle w:val="ListBullet"/>
            </w:pPr>
            <w:r w:rsidRPr="00142C9E">
              <w:t>developing the design within the safety, regulatory and functional requirements and budget limitations</w:t>
            </w:r>
          </w:p>
          <w:p w:rsidR="00000000" w:rsidRPr="00142C9E" w:rsidP="00142C9E">
            <w:pPr>
              <w:pStyle w:val="ListBullet"/>
            </w:pPr>
            <w:r w:rsidRPr="00142C9E">
              <w:t>documenting and presenting design effectively,</w:t>
            </w:r>
          </w:p>
          <w:p w:rsidR="00000000" w:rsidRPr="00142C9E" w:rsidP="00142C9E">
            <w:pPr>
              <w:pStyle w:val="ListBullet"/>
            </w:pPr>
            <w:r w:rsidRPr="00142C9E">
              <w:t>successfully negotia</w:t>
            </w:r>
            <w:r w:rsidRPr="00142C9E">
              <w:t>ting design alteration requests</w:t>
            </w:r>
          </w:p>
          <w:p w:rsidR="00000000" w:rsidRPr="00142C9E" w:rsidP="00142C9E">
            <w:pPr>
              <w:pStyle w:val="ListBullet"/>
            </w:pPr>
            <w:r w:rsidRPr="00142C9E">
              <w:t>obtaining approval for final design</w:t>
            </w:r>
          </w:p>
          <w:p w:rsidR="00000000" w:rsidRPr="00142C9E" w:rsidP="00142C9E">
            <w:pPr>
              <w:pStyle w:val="ListBullet"/>
            </w:pPr>
            <w:r w:rsidRPr="00142C9E">
              <w:t>dealing with unplanned events</w:t>
            </w:r>
          </w:p>
          <w:p w:rsidR="00000000" w:rsidRPr="00142C9E" w:rsidP="00142C9E">
            <w:pPr>
              <w:pStyle w:val="ListBullet"/>
            </w:pPr>
            <w:r w:rsidRPr="00142C9E">
              <w:t>applying relevant work health and safety (WHS)/occupational health and safety (OHS) requirements, including using risk control measures</w:t>
            </w:r>
          </w:p>
          <w:p w:rsidR="00000000" w:rsidRPr="00142C9E" w:rsidP="00142C9E">
            <w:pPr>
              <w:pStyle w:val="ListBullet"/>
            </w:pPr>
            <w:r w:rsidRPr="00142C9E">
              <w:t>designing industrial refrigeration systems</w:t>
            </w:r>
          </w:p>
          <w:p w:rsidR="00000000" w:rsidRPr="00142C9E" w:rsidP="00142C9E">
            <w:pPr>
              <w:pStyle w:val="ListBullet"/>
            </w:pPr>
            <w:r w:rsidRPr="00142C9E">
              <w:t>preparing to design industrial refrigeration systems.</w:t>
            </w:r>
          </w:p>
        </w:tc>
      </w:tr>
    </w:tbl>
    <w:p w:rsidR="00000000" w:rsidRPr="00142C9E" w:rsidP="00142C9E">
      <w:pPr>
        <w:pStyle w:val="NoPaddingFontSize1"/>
      </w:pPr>
    </w:p>
    <w:p w:rsidR="00000000" w:rsidRPr="00142C9E" w:rsidP="00142C9E">
      <w:pPr>
        <w:pStyle w:val="AllowPageBreak"/>
      </w:pPr>
    </w:p>
    <w:p w:rsidR="00000000" w:rsidRPr="00142C9E" w:rsidP="00142C9E">
      <w:pPr>
        <w:pStyle w:val="Heading1"/>
      </w:pPr>
      <w:bookmarkStart w:id="3" w:name="O_1082338"/>
      <w:bookmarkEnd w:id="3"/>
      <w:r w:rsidRPr="00142C9E">
        <w:t>Knowledge Evidence</w:t>
      </w:r>
    </w:p>
    <w:tbl>
      <w:tblPr>
        <w:tblW w:w="9497" w:type="dxa"/>
        <w:tblLayout w:type="fixed"/>
        <w:tblCellMar>
          <w:left w:w="62" w:type="dxa"/>
          <w:right w:w="62" w:type="dxa"/>
        </w:tblCellMar>
        <w:tblLook w:val="0000"/>
      </w:tblPr>
      <w:tblGrid>
        <w:gridCol w:w="9497"/>
      </w:tblGrid>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42C9E">
            <w:pPr>
              <w:pStyle w:val="BodyText"/>
              <w:rPr>
                <w:lang w:val="en-NZ"/>
              </w:rPr>
            </w:pPr>
            <w:r w:rsidRPr="00142C9E">
              <w:t>Evidence required to demonstrate competence in this unit must be relevant to and satisfy all of the requirements of the</w:t>
            </w:r>
            <w:r w:rsidRPr="00142C9E">
              <w:t xml:space="preserve"> elements, performance criteria and range of conditions and include knowledge of:</w:t>
            </w:r>
          </w:p>
        </w:tc>
      </w:tr>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C9E" w:rsidP="00142C9E">
            <w:pPr>
              <w:pStyle w:val="ListBullet"/>
            </w:pPr>
            <w:r w:rsidRPr="00142C9E">
              <w:t>industrial refrigeration systems design and component selection, fundamentals, safe working practices and relevant standards, codes and regulations including:</w:t>
            </w:r>
          </w:p>
          <w:p w:rsidR="00000000" w:rsidRPr="00142C9E" w:rsidP="00142C9E">
            <w:pPr>
              <w:pStyle w:val="ListBullet2"/>
            </w:pPr>
            <w:r w:rsidRPr="00142C9E">
              <w:t>relevant ind</w:t>
            </w:r>
            <w:r w:rsidRPr="00142C9E">
              <w:t>ustry practices:</w:t>
            </w:r>
          </w:p>
          <w:p w:rsidR="00000000" w:rsidRPr="00142C9E" w:rsidP="00142C9E">
            <w:pPr>
              <w:pStyle w:val="ListBullet3"/>
            </w:pPr>
            <w:r w:rsidRPr="00142C9E">
              <w:t>AS/NZS 1677 Refrigerating systems SAA refrigeration code</w:t>
            </w:r>
          </w:p>
          <w:p w:rsidR="00000000" w:rsidRPr="00142C9E" w:rsidP="00142C9E">
            <w:pPr>
              <w:pStyle w:val="ListBullet3"/>
            </w:pPr>
            <w:r w:rsidRPr="00142C9E">
              <w:t>AS/NZS 3666 Air-handling and water systems of buildings</w:t>
            </w:r>
          </w:p>
          <w:p w:rsidR="00000000" w:rsidRPr="00142C9E" w:rsidP="00142C9E">
            <w:pPr>
              <w:pStyle w:val="ListBullet3"/>
            </w:pPr>
            <w:r w:rsidRPr="00142C9E">
              <w:t>ozone protection regulations</w:t>
            </w:r>
          </w:p>
          <w:p w:rsidR="00000000" w:rsidRPr="00142C9E" w:rsidP="00142C9E">
            <w:pPr>
              <w:pStyle w:val="ListBullet3"/>
            </w:pPr>
            <w:r w:rsidRPr="00142C9E">
              <w:t>IIAR ammonia data book</w:t>
            </w:r>
          </w:p>
          <w:p w:rsidR="00000000" w:rsidRPr="00142C9E" w:rsidP="00142C9E">
            <w:pPr>
              <w:pStyle w:val="ListBullet3"/>
            </w:pPr>
            <w:r w:rsidRPr="00142C9E">
              <w:t>ANSI/IIAR standards</w:t>
            </w:r>
          </w:p>
          <w:p w:rsidR="00000000" w:rsidRPr="00142C9E" w:rsidP="00142C9E">
            <w:pPr>
              <w:pStyle w:val="ListBullet3"/>
            </w:pPr>
            <w:r w:rsidRPr="00142C9E">
              <w:t>ANSI/ASHRAE mechanical refrigeration and IIAR bulletins and standards (list will be provided by Rama)</w:t>
            </w:r>
          </w:p>
          <w:p w:rsidR="00000000" w:rsidRPr="00142C9E" w:rsidP="00142C9E">
            <w:pPr>
              <w:pStyle w:val="ListBullet3"/>
            </w:pPr>
            <w:r w:rsidRPr="00142C9E">
              <w:t>equipment manufacturer’s specifications and practices</w:t>
            </w:r>
          </w:p>
          <w:p w:rsidR="00000000" w:rsidRPr="00142C9E" w:rsidP="00142C9E">
            <w:pPr>
              <w:pStyle w:val="ListBullet2"/>
            </w:pPr>
            <w:r w:rsidRPr="00142C9E">
              <w:t>operating characteristics:</w:t>
            </w:r>
          </w:p>
          <w:p w:rsidR="00000000" w:rsidRPr="00142C9E" w:rsidP="00142C9E">
            <w:pPr>
              <w:pStyle w:val="ListBullet3"/>
            </w:pPr>
            <w:r w:rsidRPr="00142C9E">
              <w:t>pH charts</w:t>
            </w:r>
          </w:p>
          <w:p w:rsidR="00000000" w:rsidRPr="00142C9E" w:rsidP="00142C9E">
            <w:pPr>
              <w:pStyle w:val="ListBullet3"/>
            </w:pPr>
            <w:r w:rsidRPr="00142C9E">
              <w:t>refrigerating effect, relate back to air and fluid coolers</w:t>
            </w:r>
          </w:p>
          <w:p w:rsidR="00000000" w:rsidRPr="00142C9E" w:rsidP="00142C9E">
            <w:pPr>
              <w:pStyle w:val="ListBullet3"/>
            </w:pPr>
            <w:r w:rsidRPr="00142C9E">
              <w:t>he</w:t>
            </w:r>
            <w:r w:rsidRPr="00142C9E">
              <w:t>at of compression, relate back to screw, rotary and reciprocating compressors</w:t>
            </w:r>
          </w:p>
          <w:p w:rsidR="00000000" w:rsidRPr="00142C9E" w:rsidP="00142C9E">
            <w:pPr>
              <w:pStyle w:val="ListBullet3"/>
            </w:pPr>
            <w:r w:rsidRPr="00142C9E">
              <w:t>heat rejected high side of the system, relate back to air cooled, evaporative, and water-cooled condensers</w:t>
            </w:r>
          </w:p>
          <w:p w:rsidR="00000000" w:rsidRPr="00142C9E" w:rsidP="00142C9E">
            <w:pPr>
              <w:pStyle w:val="ListBullet3"/>
            </w:pPr>
            <w:r w:rsidRPr="00142C9E">
              <w:t>variable liquid refrigeration systems and liquid oversee systems</w:t>
            </w:r>
          </w:p>
          <w:p w:rsidR="00000000" w:rsidRPr="00142C9E" w:rsidP="00142C9E">
            <w:pPr>
              <w:pStyle w:val="ListBullet3"/>
            </w:pPr>
            <w:r w:rsidRPr="00142C9E">
              <w:t>required mass flow rate of refrigerant and volume flow rate at various points in system</w:t>
            </w:r>
          </w:p>
          <w:p w:rsidR="00000000" w:rsidRPr="00142C9E" w:rsidP="00142C9E">
            <w:pPr>
              <w:pStyle w:val="ListBullet3"/>
            </w:pPr>
            <w:r w:rsidRPr="00142C9E">
              <w:t>theoretical compressor power</w:t>
            </w:r>
          </w:p>
          <w:p w:rsidR="00000000" w:rsidRPr="00142C9E" w:rsidP="00142C9E">
            <w:pPr>
              <w:pStyle w:val="ListBullet3"/>
            </w:pPr>
            <w:r w:rsidRPr="00142C9E">
              <w:t>required condenser capacity</w:t>
            </w:r>
          </w:p>
          <w:p w:rsidR="00000000" w:rsidRPr="00142C9E" w:rsidP="00142C9E">
            <w:pPr>
              <w:pStyle w:val="ListBullet2"/>
            </w:pPr>
            <w:r w:rsidRPr="00142C9E">
              <w:t>major system components:</w:t>
            </w:r>
          </w:p>
          <w:p w:rsidR="00000000" w:rsidRPr="00142C9E" w:rsidP="00142C9E">
            <w:pPr>
              <w:pStyle w:val="ListBullet3"/>
            </w:pPr>
            <w:r w:rsidRPr="00142C9E">
              <w:t>refrigerants, including R717 and R22</w:t>
            </w:r>
          </w:p>
          <w:p w:rsidR="00000000" w:rsidRPr="00142C9E" w:rsidP="00142C9E">
            <w:pPr>
              <w:pStyle w:val="ListBullet3"/>
            </w:pPr>
            <w:r w:rsidRPr="00142C9E">
              <w:t>secondary refrigerants</w:t>
            </w:r>
          </w:p>
          <w:p w:rsidR="00000000" w:rsidRPr="00142C9E" w:rsidP="00142C9E">
            <w:pPr>
              <w:pStyle w:val="ListBullet3"/>
            </w:pPr>
            <w:r w:rsidRPr="00142C9E">
              <w:t>component lubricant refr</w:t>
            </w:r>
            <w:r w:rsidRPr="00142C9E">
              <w:t>igerant compatibility</w:t>
            </w:r>
          </w:p>
          <w:p w:rsidR="00000000" w:rsidRPr="00142C9E" w:rsidP="00142C9E">
            <w:pPr>
              <w:pStyle w:val="ListBullet3"/>
            </w:pPr>
            <w:r w:rsidRPr="00142C9E">
              <w:t>evaporators</w:t>
            </w:r>
          </w:p>
          <w:p w:rsidR="00000000" w:rsidRPr="00142C9E" w:rsidP="00142C9E">
            <w:pPr>
              <w:pStyle w:val="ListBullet3"/>
            </w:pPr>
            <w:r w:rsidRPr="00142C9E">
              <w:t>condensers and cooling towers</w:t>
            </w:r>
          </w:p>
          <w:p w:rsidR="00000000" w:rsidRPr="00142C9E" w:rsidP="00142C9E">
            <w:pPr>
              <w:pStyle w:val="ListBullet3"/>
            </w:pPr>
            <w:r w:rsidRPr="00142C9E">
              <w:t>compressors</w:t>
            </w:r>
          </w:p>
          <w:p w:rsidR="00000000" w:rsidRPr="00142C9E" w:rsidP="00142C9E">
            <w:pPr>
              <w:pStyle w:val="ListBullet3"/>
            </w:pPr>
            <w:r w:rsidRPr="00142C9E">
              <w:t>expansion valves</w:t>
            </w:r>
          </w:p>
          <w:p w:rsidR="00000000" w:rsidRPr="00142C9E" w:rsidP="00142C9E">
            <w:pPr>
              <w:pStyle w:val="ListBullet3"/>
            </w:pPr>
            <w:r w:rsidRPr="00142C9E">
              <w:t>interconnecting piping and</w:t>
            </w:r>
          </w:p>
          <w:p w:rsidR="00000000" w:rsidRPr="00142C9E" w:rsidP="00142C9E">
            <w:pPr>
              <w:pStyle w:val="ListBullet3"/>
            </w:pPr>
            <w:r w:rsidRPr="00142C9E">
              <w:t>isolating valves</w:t>
            </w:r>
          </w:p>
          <w:p w:rsidR="00000000" w:rsidRPr="00142C9E" w:rsidP="00142C9E">
            <w:pPr>
              <w:pStyle w:val="ListBullet3"/>
            </w:pPr>
            <w:r w:rsidRPr="00142C9E">
              <w:t>pilot-operated valves</w:t>
            </w:r>
          </w:p>
          <w:p w:rsidR="00000000" w:rsidRPr="00142C9E" w:rsidP="00142C9E">
            <w:pPr>
              <w:pStyle w:val="ListBullet3"/>
            </w:pPr>
            <w:r w:rsidRPr="00142C9E">
              <w:t>defrost system components for air, water, recycled water, hot gas and electric methods</w:t>
            </w:r>
          </w:p>
          <w:p w:rsidR="00000000" w:rsidRPr="00142C9E" w:rsidP="00142C9E">
            <w:pPr>
              <w:pStyle w:val="ListBullet3"/>
            </w:pPr>
            <w:r w:rsidRPr="00142C9E">
              <w:t>refrigerant accumulators and liquid pumps</w:t>
            </w:r>
          </w:p>
          <w:p w:rsidR="00000000" w:rsidRPr="00142C9E" w:rsidP="00142C9E">
            <w:pPr>
              <w:pStyle w:val="ListBullet2"/>
            </w:pPr>
            <w:r w:rsidRPr="00142C9E">
              <w:t>problem-solving techniques</w:t>
            </w:r>
          </w:p>
          <w:p w:rsidR="00000000" w:rsidRPr="00142C9E" w:rsidP="00142C9E">
            <w:pPr>
              <w:pStyle w:val="ListBullet2"/>
            </w:pPr>
            <w:r w:rsidRPr="00142C9E">
              <w:t>relevant job safety assessments or risk mitigation processes</w:t>
            </w:r>
          </w:p>
          <w:p w:rsidR="00000000" w:rsidRPr="00142C9E" w:rsidP="00142C9E">
            <w:pPr>
              <w:pStyle w:val="ListBullet2"/>
            </w:pPr>
            <w:r w:rsidRPr="00142C9E">
              <w:t>relevant manufacturer specifications</w:t>
            </w:r>
          </w:p>
          <w:p w:rsidR="00000000" w:rsidRPr="00142C9E" w:rsidP="00142C9E">
            <w:pPr>
              <w:pStyle w:val="ListBullet2"/>
            </w:pPr>
            <w:r w:rsidRPr="00142C9E">
              <w:t>relevant WHS/OHS legislated requirements</w:t>
            </w:r>
          </w:p>
          <w:p w:rsidR="00000000" w:rsidRPr="00142C9E" w:rsidP="00142C9E">
            <w:pPr>
              <w:pStyle w:val="ListBullet2"/>
            </w:pPr>
            <w:r w:rsidRPr="00142C9E">
              <w:t>relevant workplace budget, quality, policies an</w:t>
            </w:r>
            <w:r w:rsidRPr="00142C9E">
              <w:t>d procedures</w:t>
            </w:r>
          </w:p>
          <w:p w:rsidR="00000000" w:rsidRPr="00142C9E" w:rsidP="00142C9E">
            <w:pPr>
              <w:pStyle w:val="ListBullet2"/>
            </w:pPr>
            <w:r w:rsidRPr="00142C9E">
              <w:t>relevant workplace documentation.</w:t>
            </w:r>
          </w:p>
        </w:tc>
      </w:tr>
    </w:tbl>
    <w:p w:rsidR="00000000" w:rsidRPr="00142C9E" w:rsidP="00142C9E">
      <w:pPr>
        <w:pStyle w:val="NoPaddingFontSize1"/>
      </w:pPr>
    </w:p>
    <w:p w:rsidR="00000000" w:rsidRPr="00142C9E" w:rsidP="00142C9E">
      <w:pPr>
        <w:pStyle w:val="AllowPageBreak"/>
      </w:pPr>
    </w:p>
    <w:p w:rsidR="00000000" w:rsidRPr="00142C9E" w:rsidP="00142C9E">
      <w:pPr>
        <w:pStyle w:val="Heading1"/>
      </w:pPr>
      <w:bookmarkStart w:id="4" w:name="O_1082339"/>
      <w:bookmarkEnd w:id="4"/>
      <w:r w:rsidRPr="00142C9E">
        <w:t>Assessment Conditions</w:t>
      </w:r>
    </w:p>
    <w:tbl>
      <w:tblPr>
        <w:tblW w:w="9497" w:type="dxa"/>
        <w:tblLayout w:type="fixed"/>
        <w:tblCellMar>
          <w:left w:w="62" w:type="dxa"/>
          <w:right w:w="62" w:type="dxa"/>
        </w:tblCellMar>
        <w:tblLook w:val="0000"/>
      </w:tblPr>
      <w:tblGrid>
        <w:gridCol w:w="9497"/>
      </w:tblGrid>
      <w:tr w:rsidTr="00142C9E">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42C9E" w:rsidP="00142C9E">
            <w:pPr>
              <w:pStyle w:val="BodyText"/>
            </w:pPr>
            <w:r w:rsidRPr="00142C9E">
              <w:t>Assessors must hold credentials specified within the Standards for Registered Training Organisations current at the time of assessment.</w:t>
            </w:r>
          </w:p>
          <w:p w:rsidR="00000000" w:rsidRPr="00142C9E" w:rsidP="00142C9E">
            <w:pPr>
              <w:pStyle w:val="BodyText"/>
            </w:pPr>
            <w:r w:rsidRPr="00142C9E">
              <w:t>Assess</w:t>
            </w:r>
            <w:r w:rsidRPr="00142C9E">
              <w:t>ment must satisfy the Principles of Assessment and Rules of Evidence and all regulatory requirements included within the Standards for Registered Training Organisations current at the time of assessment.</w:t>
            </w:r>
          </w:p>
          <w:p w:rsidR="00000000" w:rsidRPr="00142C9E" w:rsidP="00142C9E">
            <w:pPr>
              <w:pStyle w:val="BodyText"/>
            </w:pPr>
            <w:r w:rsidRPr="00142C9E">
              <w:t>Assessment must occur in suitable workplace operatio</w:t>
            </w:r>
            <w:r w:rsidRPr="00142C9E">
              <w:t>nal situations where it is appropriate to do so; where this is not appropriate, assessment must occur in simulated suitable workplace operational situations that replicate workplace conditions.</w:t>
            </w:r>
          </w:p>
          <w:p w:rsidR="00000000" w:rsidRPr="00142C9E" w:rsidP="00142C9E">
            <w:pPr>
              <w:pStyle w:val="BodyText"/>
            </w:pPr>
            <w:r w:rsidRPr="00142C9E">
              <w:t>Assessment processes and techniques must be appropriate to the</w:t>
            </w:r>
            <w:r w:rsidRPr="00142C9E">
              <w:t xml:space="preserve"> language, literacy and numeracy requirements of the work being performed and the needs of the candidate.</w:t>
            </w:r>
          </w:p>
          <w:p w:rsidR="00000000" w:rsidRPr="00142C9E" w:rsidP="00142C9E">
            <w:pPr>
              <w:pStyle w:val="BodyText"/>
            </w:pPr>
            <w:r w:rsidRPr="00142C9E">
              <w:t>Resources for assessment must include access to:</w:t>
            </w:r>
          </w:p>
          <w:p w:rsidR="00000000" w:rsidRPr="00142C9E" w:rsidP="00142C9E">
            <w:pPr>
              <w:pStyle w:val="ListBullet"/>
            </w:pPr>
            <w:r w:rsidRPr="00142C9E">
              <w:t>a range of relevant exercises, case studies and/or simulations</w:t>
            </w:r>
          </w:p>
          <w:p w:rsidR="00000000" w:rsidRPr="00142C9E" w:rsidP="00142C9E">
            <w:pPr>
              <w:pStyle w:val="ListBullet"/>
            </w:pPr>
            <w:r w:rsidRPr="00142C9E">
              <w:t>relevant and appropriate materials, t</w:t>
            </w:r>
            <w:r w:rsidRPr="00142C9E">
              <w:t>ools, facilities and equipment currently used in industry</w:t>
            </w:r>
          </w:p>
          <w:p w:rsidR="00000000" w:rsidRPr="00142C9E" w:rsidP="00142C9E">
            <w:pPr>
              <w:pStyle w:val="ListBullet"/>
            </w:pPr>
            <w:r w:rsidRPr="00142C9E">
              <w:t>applicable documentation, including workplace procedures, equipment specifications, regulations, codes of practice and operation manuals.</w:t>
            </w:r>
          </w:p>
        </w:tc>
      </w:tr>
    </w:tbl>
    <w:p w:rsidR="00000000" w:rsidRPr="00142C9E" w:rsidP="00142C9E">
      <w:pPr>
        <w:pStyle w:val="NoPaddingFontSize1"/>
      </w:pPr>
    </w:p>
    <w:p w:rsidR="00000000" w:rsidRPr="00142C9E" w:rsidP="00142C9E">
      <w:pPr>
        <w:pStyle w:val="AllowPageBreak"/>
      </w:pPr>
    </w:p>
    <w:p w:rsidR="00000000" w:rsidRPr="00142C9E" w:rsidP="00142C9E">
      <w:pPr>
        <w:pStyle w:val="Heading1"/>
      </w:pPr>
      <w:bookmarkStart w:id="5" w:name="O_1082342"/>
      <w:bookmarkEnd w:id="5"/>
      <w:r w:rsidRPr="00142C9E">
        <w:t>Links</w:t>
      </w:r>
    </w:p>
    <w:p w:rsidR="00000000" w:rsidRPr="00142C9E" w:rsidP="00DD7533">
      <w:pPr>
        <w:pStyle w:val="BodyText"/>
      </w:pPr>
      <w:r w:rsidRPr="00142C9E">
        <w:t xml:space="preserve">Companion Volume implementation guides are found in VETNet - - </w:t>
      </w:r>
      <w:r>
        <w:fldChar w:fldCharType="begin"/>
      </w:r>
      <w:r>
        <w:instrText xml:space="preserve"> HYPERLINK "https://vetnet.gov.au/Pages/TrainingDocs.aspx?q=b8a8f136-5421-4ce1-92e0-2b50341431b6" </w:instrText>
      </w:r>
      <w:r>
        <w:fldChar w:fldCharType="separate"/>
      </w:r>
      <w:r w:rsidRPr="000B2E04">
        <w:rPr>
          <w:rStyle w:val="Hyperlink"/>
        </w:rPr>
        <w:t>https://vetnet.gov.au/Pages/TrainingDocs.aspx?q=b8a8f136-5421-4ce1-92e0-2b50341431b6</w:t>
      </w:r>
      <w:r>
        <w:fldChar w:fldCharType="end"/>
      </w:r>
    </w:p>
    <w:p w:rsidR="00000000" w:rsidRPr="00142C9E" w:rsidP="00142C9E"/>
    <w:sectPr w:rsidSect="00142C9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9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9E" w:rsidRPr="00DD7533" w:rsidP="00DD753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9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33" w:rsidP="00142C9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D7533" w:rsidP="00142C9E">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Powering Skills Organisation</w:t>
    </w:r>
    <w:r>
      <w:fldChar w:fldCharType="end"/>
    </w:r>
  </w:p>
  <w:p w:rsidR="00DD7533" w:rsidP="00142C9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9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3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42C9E" w:rsidRPr="00DD7533" w:rsidP="00DD753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42C9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D7533" w:rsidRPr="002D2AF8" w:rsidP="00142C9E">
    <w:pPr>
      <w:pStyle w:val="Header"/>
      <w:framePr w:wrap="around"/>
    </w:pPr>
    <w:r>
      <w:fldChar w:fldCharType="begin"/>
    </w:r>
    <w:r>
      <w:instrText xml:space="preserve"> TITLE   \* MERGEFORMAT </w:instrText>
    </w:r>
    <w:r>
      <w:fldChar w:fldCharType="separate"/>
    </w:r>
    <w:r>
      <w:t>Assessment Requirements for UEERA0025 Design industrial refrigeration systems and select components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29 November 2024</w:t>
    </w:r>
    <w:r>
      <w:fldChar w:fldCharType="end"/>
    </w:r>
  </w:p>
  <w:p w:rsidR="00DD7533" w:rsidP="00142C9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916F65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6003B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0E5A056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42C9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42C9E"/>
    <w:pPr>
      <w:spacing w:before="360" w:after="60"/>
      <w:outlineLvl w:val="0"/>
    </w:pPr>
    <w:rPr>
      <w:sz w:val="32"/>
    </w:rPr>
  </w:style>
  <w:style w:type="paragraph" w:styleId="Heading2">
    <w:name w:val="heading 2"/>
    <w:basedOn w:val="HeadingBase"/>
    <w:next w:val="BodyText"/>
    <w:link w:val="Heading2Char"/>
    <w:qFormat/>
    <w:rsid w:val="00142C9E"/>
    <w:pPr>
      <w:keepLines/>
      <w:spacing w:before="240" w:after="120"/>
      <w:outlineLvl w:val="1"/>
    </w:pPr>
    <w:rPr>
      <w:sz w:val="28"/>
      <w:szCs w:val="40"/>
    </w:rPr>
  </w:style>
  <w:style w:type="paragraph" w:styleId="Heading3">
    <w:name w:val="heading 3"/>
    <w:basedOn w:val="HeadingBase"/>
    <w:next w:val="BodyText"/>
    <w:link w:val="Heading3Char"/>
    <w:qFormat/>
    <w:rsid w:val="00142C9E"/>
    <w:pPr>
      <w:spacing w:before="180" w:after="120"/>
      <w:outlineLvl w:val="2"/>
    </w:pPr>
    <w:rPr>
      <w:spacing w:val="-10"/>
      <w:kern w:val="32"/>
    </w:rPr>
  </w:style>
  <w:style w:type="paragraph" w:styleId="Heading4">
    <w:name w:val="heading 4"/>
    <w:basedOn w:val="HeadingBase"/>
    <w:next w:val="BodyText"/>
    <w:link w:val="Heading4Char"/>
    <w:qFormat/>
    <w:rsid w:val="00142C9E"/>
    <w:pPr>
      <w:spacing w:before="160" w:after="120"/>
      <w:outlineLvl w:val="3"/>
    </w:pPr>
    <w:rPr>
      <w:sz w:val="22"/>
    </w:rPr>
  </w:style>
  <w:style w:type="paragraph" w:styleId="Heading5">
    <w:name w:val="heading 5"/>
    <w:basedOn w:val="HeadingBase"/>
    <w:next w:val="Normal"/>
    <w:link w:val="Heading5Char"/>
    <w:qFormat/>
    <w:rsid w:val="00142C9E"/>
    <w:pPr>
      <w:spacing w:before="80"/>
      <w:outlineLvl w:val="4"/>
    </w:pPr>
    <w:rPr>
      <w:color w:val="918585"/>
      <w:sz w:val="20"/>
    </w:rPr>
  </w:style>
  <w:style w:type="paragraph" w:styleId="Heading6">
    <w:name w:val="heading 6"/>
    <w:basedOn w:val="HeadingBase"/>
    <w:next w:val="Normal"/>
    <w:link w:val="Heading6Char"/>
    <w:qFormat/>
    <w:rsid w:val="00142C9E"/>
    <w:pPr>
      <w:spacing w:before="60"/>
      <w:outlineLvl w:val="5"/>
    </w:pPr>
    <w:rPr>
      <w:color w:val="918585"/>
      <w:sz w:val="20"/>
    </w:rPr>
  </w:style>
  <w:style w:type="paragraph" w:styleId="Heading7">
    <w:name w:val="heading 7"/>
    <w:basedOn w:val="Normal"/>
    <w:next w:val="Normal"/>
    <w:link w:val="Heading7Char"/>
    <w:qFormat/>
    <w:rsid w:val="00142C9E"/>
    <w:pPr>
      <w:ind w:left="720"/>
      <w:outlineLvl w:val="6"/>
    </w:pPr>
    <w:rPr>
      <w:i/>
    </w:rPr>
  </w:style>
  <w:style w:type="paragraph" w:styleId="Heading8">
    <w:name w:val="heading 8"/>
    <w:basedOn w:val="Normal"/>
    <w:next w:val="Normal"/>
    <w:link w:val="Heading8Char"/>
    <w:qFormat/>
    <w:rsid w:val="00142C9E"/>
    <w:pPr>
      <w:ind w:left="720"/>
      <w:outlineLvl w:val="7"/>
    </w:pPr>
    <w:rPr>
      <w:i/>
    </w:rPr>
  </w:style>
  <w:style w:type="paragraph" w:styleId="Heading9">
    <w:name w:val="heading 9"/>
    <w:basedOn w:val="Normal"/>
    <w:next w:val="Normal"/>
    <w:link w:val="Heading9Char"/>
    <w:qFormat/>
    <w:rsid w:val="00142C9E"/>
    <w:pPr>
      <w:ind w:left="720"/>
      <w:outlineLvl w:val="8"/>
    </w:pPr>
    <w:rPr>
      <w:i/>
    </w:rPr>
  </w:style>
  <w:style w:type="character" w:default="1" w:styleId="DefaultParagraphFont">
    <w:name w:val="Default Paragraph Font"/>
    <w:uiPriority w:val="1"/>
    <w:unhideWhenUsed/>
    <w:rsid w:val="00142C9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42C9E"/>
  </w:style>
  <w:style w:type="character" w:customStyle="1" w:styleId="Heading1Char">
    <w:name w:val="Heading 1 Char"/>
    <w:basedOn w:val="DefaultParagraphFont"/>
    <w:link w:val="Heading1"/>
    <w:rsid w:val="00142C9E"/>
    <w:rPr>
      <w:rFonts w:ascii="Times New Roman" w:eastAsia="Times New Roman" w:hAnsi="Times New Roman" w:cs="Times New Roman"/>
      <w:b/>
      <w:sz w:val="32"/>
      <w:szCs w:val="20"/>
      <w:lang w:eastAsia="en-US"/>
    </w:rPr>
  </w:style>
  <w:style w:type="paragraph" w:styleId="BodyText">
    <w:name w:val="Body Text"/>
    <w:basedOn w:val="Normal"/>
    <w:link w:val="BodyTextChar"/>
    <w:rsid w:val="00142C9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42C9E"/>
    <w:rPr>
      <w:rFonts w:ascii="Times New Roman" w:eastAsia="Times New Roman" w:hAnsi="Times New Roman" w:cs="Times New Roman"/>
      <w:sz w:val="24"/>
      <w:lang w:eastAsia="en-US"/>
    </w:rPr>
  </w:style>
  <w:style w:type="paragraph" w:styleId="ListBullet">
    <w:name w:val="List Bullet"/>
    <w:basedOn w:val="List"/>
    <w:rsid w:val="00142C9E"/>
    <w:pPr>
      <w:numPr>
        <w:numId w:val="13"/>
      </w:numPr>
      <w:tabs>
        <w:tab w:val="clear" w:pos="340"/>
      </w:tabs>
      <w:spacing w:before="40" w:after="40"/>
    </w:pPr>
  </w:style>
  <w:style w:type="paragraph" w:styleId="ListBullet2">
    <w:name w:val="List Bullet 2"/>
    <w:basedOn w:val="List2"/>
    <w:rsid w:val="00142C9E"/>
    <w:pPr>
      <w:numPr>
        <w:numId w:val="14"/>
      </w:numPr>
      <w:tabs>
        <w:tab w:val="clear" w:pos="680"/>
      </w:tabs>
    </w:pPr>
  </w:style>
  <w:style w:type="paragraph" w:customStyle="1" w:styleId="SuperHeading">
    <w:name w:val="SuperHeading"/>
    <w:basedOn w:val="Normal"/>
    <w:rsid w:val="00142C9E"/>
    <w:pPr>
      <w:spacing w:before="240" w:after="120"/>
      <w:outlineLvl w:val="0"/>
    </w:pPr>
    <w:rPr>
      <w:rFonts w:ascii="Times New Roman" w:hAnsi="Times New Roman"/>
      <w:b/>
      <w:sz w:val="32"/>
    </w:rPr>
  </w:style>
  <w:style w:type="paragraph" w:customStyle="1" w:styleId="AllowPageBreak">
    <w:name w:val="AllowPageBreak"/>
    <w:rsid w:val="00142C9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42C9E"/>
    <w:pPr>
      <w:numPr>
        <w:numId w:val="3"/>
      </w:numPr>
      <w:tabs>
        <w:tab w:val="clear" w:pos="1021"/>
      </w:tabs>
      <w:ind w:left="1037" w:hanging="357"/>
    </w:p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42C9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42C9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42C9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42C9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42C9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42C9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42C9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42C9E"/>
    <w:rPr>
      <w:rFonts w:ascii="Courier New" w:eastAsia="Times New Roman" w:hAnsi="Courier New" w:cs="Times New Roman"/>
      <w:i/>
      <w:szCs w:val="20"/>
      <w:lang w:eastAsia="en-US"/>
    </w:rPr>
  </w:style>
  <w:style w:type="paragraph" w:customStyle="1" w:styleId="HeadingBase">
    <w:name w:val="Heading Base"/>
    <w:rsid w:val="00142C9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42C9E"/>
    <w:pPr>
      <w:tabs>
        <w:tab w:val="right" w:leader="dot" w:pos="9072"/>
      </w:tabs>
      <w:ind w:left="567"/>
    </w:pPr>
    <w:rPr>
      <w:szCs w:val="22"/>
    </w:rPr>
  </w:style>
  <w:style w:type="paragraph" w:customStyle="1" w:styleId="TOCBase">
    <w:name w:val="TOC Base"/>
    <w:rsid w:val="00142C9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42C9E"/>
    <w:pPr>
      <w:tabs>
        <w:tab w:val="right" w:leader="dot" w:pos="9072"/>
      </w:tabs>
      <w:spacing w:before="40" w:after="40"/>
      <w:ind w:left="284"/>
    </w:pPr>
    <w:rPr>
      <w:rFonts w:ascii="Times New Roman" w:hAnsi="Times New Roman"/>
    </w:rPr>
  </w:style>
  <w:style w:type="paragraph" w:styleId="TOC1">
    <w:name w:val="toc 1"/>
    <w:basedOn w:val="TOCBase"/>
    <w:next w:val="Normal"/>
    <w:rsid w:val="00142C9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42C9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42C9E"/>
    <w:rPr>
      <w:rFonts w:ascii="Times New Roman" w:eastAsia="Times New Roman" w:hAnsi="Times New Roman" w:cs="Times New Roman"/>
      <w:sz w:val="16"/>
      <w:lang w:eastAsia="en-US"/>
    </w:rPr>
  </w:style>
  <w:style w:type="paragraph" w:styleId="Title">
    <w:name w:val="Title"/>
    <w:basedOn w:val="HeadingBase"/>
    <w:link w:val="TitleChar"/>
    <w:qFormat/>
    <w:rsid w:val="00142C9E"/>
    <w:pPr>
      <w:spacing w:before="5040"/>
      <w:jc w:val="center"/>
    </w:pPr>
    <w:rPr>
      <w:sz w:val="48"/>
      <w:szCs w:val="72"/>
      <w:lang w:val="en-US"/>
    </w:rPr>
  </w:style>
  <w:style w:type="character" w:customStyle="1" w:styleId="TitleChar">
    <w:name w:val="Title Char"/>
    <w:basedOn w:val="DefaultParagraphFont"/>
    <w:link w:val="Title"/>
    <w:rsid w:val="00142C9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42C9E"/>
    <w:pPr>
      <w:tabs>
        <w:tab w:val="left" w:pos="3600"/>
        <w:tab w:val="left" w:pos="3958"/>
      </w:tabs>
    </w:pPr>
  </w:style>
  <w:style w:type="paragraph" w:styleId="List">
    <w:name w:val="List"/>
    <w:basedOn w:val="BodyText"/>
    <w:next w:val="BodyText"/>
    <w:rsid w:val="00142C9E"/>
    <w:pPr>
      <w:tabs>
        <w:tab w:val="left" w:pos="340"/>
      </w:tabs>
      <w:spacing w:before="60" w:after="60"/>
      <w:ind w:left="340" w:hanging="340"/>
    </w:pPr>
  </w:style>
  <w:style w:type="paragraph" w:customStyle="1" w:styleId="Note">
    <w:name w:val="Note"/>
    <w:basedOn w:val="BodyText"/>
    <w:rsid w:val="00142C9E"/>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142C9E"/>
    <w:rPr>
      <w:b/>
      <w:spacing w:val="0"/>
    </w:rPr>
  </w:style>
  <w:style w:type="paragraph" w:customStyle="1" w:styleId="SuperTitle">
    <w:name w:val="SuperTitle"/>
    <w:basedOn w:val="Title"/>
    <w:rsid w:val="00142C9E"/>
    <w:pPr>
      <w:framePr w:wrap="auto" w:hAnchor="text" w:y="6049"/>
    </w:pPr>
    <w:rPr>
      <w:color w:val="000000"/>
      <w:sz w:val="40"/>
    </w:rPr>
  </w:style>
  <w:style w:type="paragraph" w:customStyle="1" w:styleId="TOCTitle">
    <w:name w:val="TOCTitle"/>
    <w:basedOn w:val="Heading1"/>
    <w:rsid w:val="00142C9E"/>
    <w:pPr>
      <w:spacing w:after="240"/>
      <w:jc w:val="center"/>
      <w:outlineLvl w:val="9"/>
    </w:pPr>
    <w:rPr>
      <w:caps/>
    </w:rPr>
  </w:style>
  <w:style w:type="paragraph" w:customStyle="1" w:styleId="Version">
    <w:name w:val="Version"/>
    <w:rsid w:val="00142C9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42C9E"/>
    <w:pPr>
      <w:keepNext w:val="0"/>
      <w:tabs>
        <w:tab w:val="right" w:pos="4176"/>
      </w:tabs>
      <w:ind w:left="198" w:hanging="198"/>
    </w:pPr>
    <w:rPr>
      <w:rFonts w:ascii="Garamond" w:hAnsi="Garamond"/>
    </w:rPr>
  </w:style>
  <w:style w:type="paragraph" w:styleId="IndexHeading">
    <w:name w:val="index heading"/>
    <w:basedOn w:val="Normal"/>
    <w:next w:val="Index1"/>
    <w:semiHidden/>
    <w:rsid w:val="00142C9E"/>
    <w:pPr>
      <w:spacing w:before="120" w:after="120"/>
    </w:pPr>
    <w:rPr>
      <w:rFonts w:ascii="Arial" w:hAnsi="Arial"/>
      <w:b/>
      <w:color w:val="918585"/>
      <w:sz w:val="24"/>
    </w:rPr>
  </w:style>
  <w:style w:type="paragraph" w:styleId="Header">
    <w:name w:val="header"/>
    <w:basedOn w:val="Normal"/>
    <w:link w:val="HeaderChar"/>
    <w:rsid w:val="00142C9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42C9E"/>
    <w:rPr>
      <w:rFonts w:ascii="Times New Roman" w:eastAsia="Times New Roman" w:hAnsi="Times New Roman" w:cs="Times New Roman"/>
      <w:sz w:val="16"/>
      <w:szCs w:val="20"/>
      <w:lang w:val="en-GB" w:eastAsia="en-US"/>
    </w:rPr>
  </w:style>
  <w:style w:type="paragraph" w:customStyle="1" w:styleId="Chapter">
    <w:name w:val="Chapter"/>
    <w:basedOn w:val="Normal"/>
    <w:rsid w:val="00142C9E"/>
    <w:pPr>
      <w:spacing w:before="240"/>
    </w:pPr>
    <w:rPr>
      <w:rFonts w:ascii="Times New Roman" w:hAnsi="Times New Roman"/>
      <w:smallCaps/>
      <w:spacing w:val="80"/>
      <w:sz w:val="28"/>
    </w:rPr>
  </w:style>
  <w:style w:type="paragraph" w:customStyle="1" w:styleId="InChapter">
    <w:name w:val="InChapter"/>
    <w:basedOn w:val="Heading3"/>
    <w:rsid w:val="00142C9E"/>
    <w:pPr>
      <w:spacing w:after="240"/>
      <w:outlineLvl w:val="9"/>
    </w:pPr>
    <w:rPr>
      <w:noProof/>
    </w:rPr>
  </w:style>
  <w:style w:type="paragraph" w:styleId="Index2">
    <w:name w:val="index 2"/>
    <w:basedOn w:val="Normal"/>
    <w:next w:val="Normal"/>
    <w:semiHidden/>
    <w:rsid w:val="00142C9E"/>
    <w:pPr>
      <w:tabs>
        <w:tab w:val="right" w:pos="4176"/>
      </w:tabs>
      <w:ind w:left="568" w:hanging="284"/>
    </w:pPr>
    <w:rPr>
      <w:rFonts w:ascii="Garamond" w:hAnsi="Garamond"/>
    </w:rPr>
  </w:style>
  <w:style w:type="paragraph" w:customStyle="1" w:styleId="Byline">
    <w:name w:val="Byline"/>
    <w:rsid w:val="00142C9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42C9E"/>
    <w:pPr>
      <w:tabs>
        <w:tab w:val="clear" w:pos="3600"/>
        <w:tab w:val="clear" w:pos="3958"/>
      </w:tabs>
      <w:jc w:val="right"/>
    </w:pPr>
  </w:style>
  <w:style w:type="character" w:styleId="Emphasis">
    <w:name w:val="Emphasis"/>
    <w:basedOn w:val="DefaultParagraphFont"/>
    <w:qFormat/>
    <w:rsid w:val="00142C9E"/>
    <w:rPr>
      <w:i/>
    </w:rPr>
  </w:style>
  <w:style w:type="paragraph" w:styleId="Caption">
    <w:name w:val="caption"/>
    <w:basedOn w:val="BodyText"/>
    <w:next w:val="Normal"/>
    <w:qFormat/>
    <w:rsid w:val="00142C9E"/>
    <w:pPr>
      <w:framePr w:w="2268" w:hSpace="181" w:vSpace="181" w:wrap="around" w:vAnchor="text" w:hAnchor="page" w:x="1135" w:y="285" w:anchorLock="1"/>
    </w:pPr>
    <w:rPr>
      <w:i/>
    </w:rPr>
  </w:style>
  <w:style w:type="paragraph" w:customStyle="1" w:styleId="MiniTOCTitle">
    <w:name w:val="MiniTOCTitle"/>
    <w:basedOn w:val="Heading4"/>
    <w:rsid w:val="00142C9E"/>
    <w:pPr>
      <w:spacing w:before="240"/>
      <w:outlineLvl w:val="9"/>
    </w:pPr>
    <w:rPr>
      <w:noProof/>
      <w:sz w:val="24"/>
    </w:rPr>
  </w:style>
  <w:style w:type="paragraph" w:customStyle="1" w:styleId="MiniTOCItem">
    <w:name w:val="MiniTOCItem"/>
    <w:basedOn w:val="ListBullet"/>
    <w:rsid w:val="00142C9E"/>
    <w:pPr>
      <w:numPr>
        <w:numId w:val="0"/>
      </w:numPr>
      <w:tabs>
        <w:tab w:val="right" w:leader="dot" w:pos="6521"/>
      </w:tabs>
      <w:spacing w:before="0" w:after="0"/>
    </w:pPr>
  </w:style>
  <w:style w:type="paragraph" w:customStyle="1" w:styleId="TOFTitle">
    <w:name w:val="TOFTitle"/>
    <w:basedOn w:val="TOCTitle"/>
    <w:rsid w:val="00142C9E"/>
  </w:style>
  <w:style w:type="paragraph" w:styleId="TableofFigures">
    <w:name w:val="table of figures"/>
    <w:basedOn w:val="Normal"/>
    <w:next w:val="Normal"/>
    <w:semiHidden/>
    <w:rsid w:val="00142C9E"/>
    <w:pPr>
      <w:tabs>
        <w:tab w:val="right" w:leader="dot" w:pos="9072"/>
      </w:tabs>
      <w:ind w:left="970" w:hanging="403"/>
    </w:pPr>
    <w:rPr>
      <w:rFonts w:ascii="Times New Roman" w:hAnsi="Times New Roman"/>
      <w:b/>
    </w:rPr>
  </w:style>
  <w:style w:type="paragraph" w:styleId="ListNumber">
    <w:name w:val="List Number"/>
    <w:basedOn w:val="List"/>
    <w:rsid w:val="00142C9E"/>
    <w:pPr>
      <w:numPr>
        <w:numId w:val="16"/>
      </w:numPr>
      <w:tabs>
        <w:tab w:val="clear" w:pos="340"/>
      </w:tabs>
    </w:pPr>
  </w:style>
  <w:style w:type="character" w:customStyle="1" w:styleId="WingdingSymbols">
    <w:name w:val="Wingding Symbols"/>
    <w:rsid w:val="00142C9E"/>
    <w:rPr>
      <w:rFonts w:ascii="Wingdings" w:hAnsi="Wingdings"/>
    </w:rPr>
  </w:style>
  <w:style w:type="paragraph" w:customStyle="1" w:styleId="TableHeading">
    <w:name w:val="Table Heading"/>
    <w:basedOn w:val="HeadingBase"/>
    <w:rsid w:val="00142C9E"/>
    <w:pPr>
      <w:keepLines/>
      <w:pBdr>
        <w:bottom w:val="single" w:sz="6" w:space="1" w:color="918585"/>
      </w:pBdr>
      <w:spacing w:before="240"/>
    </w:pPr>
  </w:style>
  <w:style w:type="character" w:customStyle="1" w:styleId="HotSpot">
    <w:name w:val="HotSpot"/>
    <w:rsid w:val="00142C9E"/>
    <w:rPr>
      <w:color w:val="0033CC"/>
      <w:u w:val="none"/>
    </w:rPr>
  </w:style>
  <w:style w:type="paragraph" w:customStyle="1" w:styleId="BodyTextRight">
    <w:name w:val="Body Text Right"/>
    <w:basedOn w:val="BodyText"/>
    <w:rsid w:val="00142C9E"/>
    <w:pPr>
      <w:spacing w:before="0" w:after="0"/>
      <w:jc w:val="right"/>
    </w:pPr>
  </w:style>
  <w:style w:type="paragraph" w:styleId="Index3">
    <w:name w:val="index 3"/>
    <w:basedOn w:val="ListNumber2"/>
    <w:next w:val="Normal"/>
    <w:semiHidden/>
    <w:rsid w:val="00142C9E"/>
    <w:pPr>
      <w:numPr>
        <w:numId w:val="0"/>
      </w:numPr>
      <w:tabs>
        <w:tab w:val="right" w:leader="dot" w:pos="4176"/>
      </w:tabs>
    </w:pPr>
  </w:style>
  <w:style w:type="paragraph" w:styleId="ListNumber2">
    <w:name w:val="List Number 2"/>
    <w:basedOn w:val="List2"/>
    <w:rsid w:val="00142C9E"/>
    <w:pPr>
      <w:numPr>
        <w:numId w:val="11"/>
      </w:numPr>
      <w:tabs>
        <w:tab w:val="clear" w:pos="1060"/>
      </w:tabs>
    </w:pPr>
  </w:style>
  <w:style w:type="paragraph" w:customStyle="1" w:styleId="MarginNote">
    <w:name w:val="Margin Note"/>
    <w:basedOn w:val="BodyText"/>
    <w:rsid w:val="00142C9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42C9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42C9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42C9E"/>
    <w:rPr>
      <w:sz w:val="32"/>
    </w:rPr>
  </w:style>
  <w:style w:type="paragraph" w:customStyle="1" w:styleId="HeadingProcedure">
    <w:name w:val="Heading Procedure"/>
    <w:basedOn w:val="HeadingBase"/>
    <w:next w:val="Normal"/>
    <w:rsid w:val="00142C9E"/>
    <w:pPr>
      <w:tabs>
        <w:tab w:val="left" w:pos="0"/>
      </w:tabs>
      <w:spacing w:before="120" w:after="60"/>
    </w:pPr>
    <w:rPr>
      <w:i/>
      <w:color w:val="918585"/>
      <w:sz w:val="22"/>
    </w:rPr>
  </w:style>
  <w:style w:type="paragraph" w:customStyle="1" w:styleId="TableBodyText">
    <w:name w:val="Table Body Text"/>
    <w:basedOn w:val="BodyText"/>
    <w:rsid w:val="00142C9E"/>
    <w:pPr>
      <w:spacing w:before="60" w:after="60"/>
    </w:pPr>
  </w:style>
  <w:style w:type="paragraph" w:styleId="ListContinue">
    <w:name w:val="List Continue"/>
    <w:basedOn w:val="List"/>
    <w:rsid w:val="00142C9E"/>
    <w:pPr>
      <w:ind w:firstLine="0"/>
    </w:pPr>
  </w:style>
  <w:style w:type="paragraph" w:customStyle="1" w:styleId="ListNote">
    <w:name w:val="List Note"/>
    <w:basedOn w:val="List"/>
    <w:rsid w:val="00142C9E"/>
    <w:pPr>
      <w:pBdr>
        <w:top w:val="single" w:sz="6" w:space="2" w:color="918585"/>
        <w:bottom w:val="single" w:sz="6" w:space="2" w:color="918585"/>
      </w:pBdr>
      <w:tabs>
        <w:tab w:val="left" w:pos="1021"/>
      </w:tabs>
      <w:ind w:firstLine="0"/>
    </w:pPr>
  </w:style>
  <w:style w:type="paragraph" w:customStyle="1" w:styleId="Warning">
    <w:name w:val="Warning"/>
    <w:basedOn w:val="BodyText"/>
    <w:rsid w:val="00142C9E"/>
    <w:pPr>
      <w:shd w:val="clear" w:color="auto" w:fill="D9D9D9"/>
      <w:tabs>
        <w:tab w:val="left" w:pos="992"/>
      </w:tabs>
      <w:ind w:left="119" w:right="119"/>
    </w:pPr>
    <w:rPr>
      <w:sz w:val="20"/>
    </w:rPr>
  </w:style>
  <w:style w:type="paragraph" w:customStyle="1" w:styleId="MarginIcons">
    <w:name w:val="Margin Icons"/>
    <w:basedOn w:val="BodyText"/>
    <w:rsid w:val="00142C9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42C9E"/>
    <w:rPr>
      <w:rFonts w:ascii="Courier New" w:hAnsi="Courier New"/>
    </w:rPr>
  </w:style>
  <w:style w:type="paragraph" w:customStyle="1" w:styleId="NoteBullet">
    <w:name w:val="Note Bullet"/>
    <w:basedOn w:val="Note"/>
    <w:rsid w:val="00142C9E"/>
    <w:pPr>
      <w:tabs>
        <w:tab w:val="clear" w:pos="680"/>
      </w:tabs>
      <w:spacing w:before="60" w:after="60"/>
    </w:pPr>
  </w:style>
  <w:style w:type="paragraph" w:customStyle="1" w:styleId="SubHeading2">
    <w:name w:val="SubHeading2"/>
    <w:basedOn w:val="HeadingBase"/>
    <w:rsid w:val="00142C9E"/>
    <w:pPr>
      <w:spacing w:before="240" w:after="60"/>
    </w:pPr>
    <w:rPr>
      <w:sz w:val="20"/>
    </w:rPr>
  </w:style>
  <w:style w:type="paragraph" w:customStyle="1" w:styleId="SubHeading1">
    <w:name w:val="SubHeading1"/>
    <w:basedOn w:val="HeadingBase"/>
    <w:rsid w:val="00142C9E"/>
    <w:pPr>
      <w:spacing w:before="240" w:after="60"/>
    </w:pPr>
    <w:rPr>
      <w:color w:val="918585"/>
      <w:sz w:val="22"/>
    </w:rPr>
  </w:style>
  <w:style w:type="paragraph" w:customStyle="1" w:styleId="SideHeading">
    <w:name w:val="Side Heading"/>
    <w:basedOn w:val="HeadingBase"/>
    <w:rsid w:val="00142C9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42C9E"/>
    <w:pPr>
      <w:numPr>
        <w:numId w:val="12"/>
      </w:numPr>
    </w:pPr>
  </w:style>
  <w:style w:type="paragraph" w:styleId="PlainText">
    <w:name w:val="Plain Text"/>
    <w:basedOn w:val="Normal"/>
    <w:link w:val="PlainTextChar"/>
    <w:rsid w:val="00142C9E"/>
    <w:rPr>
      <w:sz w:val="20"/>
    </w:rPr>
  </w:style>
  <w:style w:type="character" w:customStyle="1" w:styleId="PlainTextChar">
    <w:name w:val="Plain Text Char"/>
    <w:basedOn w:val="DefaultParagraphFont"/>
    <w:link w:val="PlainText"/>
    <w:rsid w:val="00142C9E"/>
    <w:rPr>
      <w:rFonts w:ascii="Courier New" w:eastAsia="Times New Roman" w:hAnsi="Courier New" w:cs="Times New Roman"/>
      <w:sz w:val="20"/>
      <w:szCs w:val="20"/>
      <w:lang w:eastAsia="en-US"/>
    </w:rPr>
  </w:style>
  <w:style w:type="character" w:customStyle="1" w:styleId="MenuOption">
    <w:name w:val="Menu Option"/>
    <w:basedOn w:val="DefaultParagraphFont"/>
    <w:rsid w:val="00142C9E"/>
    <w:rPr>
      <w:b/>
      <w:smallCaps/>
    </w:rPr>
  </w:style>
  <w:style w:type="paragraph" w:customStyle="1" w:styleId="TableListNumber">
    <w:name w:val="Table List Number"/>
    <w:basedOn w:val="ListNumber"/>
    <w:rsid w:val="00142C9E"/>
    <w:pPr>
      <w:numPr>
        <w:numId w:val="0"/>
      </w:numPr>
    </w:pPr>
  </w:style>
  <w:style w:type="paragraph" w:styleId="TOC4">
    <w:name w:val="toc 4"/>
    <w:basedOn w:val="TOCBase"/>
    <w:next w:val="Normal"/>
    <w:semiHidden/>
    <w:rsid w:val="00142C9E"/>
    <w:pPr>
      <w:tabs>
        <w:tab w:val="right" w:leader="dot" w:pos="9071"/>
      </w:tabs>
      <w:ind w:left="1701"/>
    </w:pPr>
  </w:style>
  <w:style w:type="paragraph" w:customStyle="1" w:styleId="ListAlpha">
    <w:name w:val="List Alpha"/>
    <w:basedOn w:val="List"/>
    <w:rsid w:val="00142C9E"/>
    <w:pPr>
      <w:numPr>
        <w:numId w:val="10"/>
      </w:numPr>
    </w:pPr>
  </w:style>
  <w:style w:type="paragraph" w:customStyle="1" w:styleId="ListAlpha2">
    <w:name w:val="List Alpha 2"/>
    <w:basedOn w:val="List2"/>
    <w:rsid w:val="00142C9E"/>
    <w:pPr>
      <w:numPr>
        <w:numId w:val="9"/>
      </w:numPr>
    </w:pPr>
  </w:style>
  <w:style w:type="paragraph" w:styleId="List2">
    <w:name w:val="List 2"/>
    <w:basedOn w:val="BodyText"/>
    <w:rsid w:val="00142C9E"/>
    <w:pPr>
      <w:tabs>
        <w:tab w:val="left" w:pos="680"/>
      </w:tabs>
      <w:spacing w:before="60" w:after="60"/>
      <w:ind w:left="680" w:hanging="340"/>
    </w:pPr>
  </w:style>
  <w:style w:type="paragraph" w:styleId="List3">
    <w:name w:val="List 3"/>
    <w:basedOn w:val="BodyText"/>
    <w:rsid w:val="00142C9E"/>
    <w:pPr>
      <w:tabs>
        <w:tab w:val="left" w:pos="1021"/>
      </w:tabs>
      <w:spacing w:before="60" w:after="60"/>
      <w:ind w:left="1020" w:hanging="340"/>
    </w:pPr>
  </w:style>
  <w:style w:type="paragraph" w:styleId="List4">
    <w:name w:val="List 4"/>
    <w:basedOn w:val="BodyText"/>
    <w:rsid w:val="00142C9E"/>
    <w:pPr>
      <w:tabs>
        <w:tab w:val="left" w:pos="1361"/>
      </w:tabs>
      <w:spacing w:before="60" w:after="60"/>
      <w:ind w:left="1361" w:hanging="340"/>
    </w:pPr>
  </w:style>
  <w:style w:type="paragraph" w:styleId="List5">
    <w:name w:val="List 5"/>
    <w:basedOn w:val="BodyText"/>
    <w:rsid w:val="00142C9E"/>
    <w:pPr>
      <w:tabs>
        <w:tab w:val="left" w:pos="1701"/>
      </w:tabs>
      <w:spacing w:before="60" w:after="60"/>
      <w:ind w:left="1701" w:hanging="340"/>
    </w:pPr>
  </w:style>
  <w:style w:type="paragraph" w:styleId="ListBullet4">
    <w:name w:val="List Bullet 4"/>
    <w:basedOn w:val="List4"/>
    <w:rsid w:val="00142C9E"/>
    <w:pPr>
      <w:numPr>
        <w:numId w:val="4"/>
      </w:numPr>
      <w:tabs>
        <w:tab w:val="clear" w:pos="1361"/>
      </w:tabs>
    </w:pPr>
  </w:style>
  <w:style w:type="paragraph" w:styleId="ListBullet5">
    <w:name w:val="List Bullet 5"/>
    <w:basedOn w:val="List5"/>
    <w:rsid w:val="00142C9E"/>
    <w:pPr>
      <w:numPr>
        <w:numId w:val="5"/>
      </w:numPr>
    </w:pPr>
  </w:style>
  <w:style w:type="paragraph" w:styleId="ListContinue2">
    <w:name w:val="List Continue 2"/>
    <w:basedOn w:val="List2"/>
    <w:rsid w:val="00142C9E"/>
    <w:pPr>
      <w:ind w:firstLine="0"/>
    </w:pPr>
  </w:style>
  <w:style w:type="paragraph" w:styleId="ListContinue3">
    <w:name w:val="List Continue 3"/>
    <w:basedOn w:val="List3"/>
    <w:rsid w:val="00142C9E"/>
    <w:pPr>
      <w:ind w:left="1021" w:firstLine="0"/>
    </w:pPr>
  </w:style>
  <w:style w:type="paragraph" w:styleId="ListContinue4">
    <w:name w:val="List Continue 4"/>
    <w:basedOn w:val="List4"/>
    <w:rsid w:val="00142C9E"/>
    <w:pPr>
      <w:ind w:firstLine="0"/>
    </w:pPr>
  </w:style>
  <w:style w:type="paragraph" w:styleId="ListContinue5">
    <w:name w:val="List Continue 5"/>
    <w:basedOn w:val="List5"/>
    <w:rsid w:val="00142C9E"/>
    <w:pPr>
      <w:ind w:firstLine="0"/>
    </w:pPr>
  </w:style>
  <w:style w:type="paragraph" w:styleId="ListNumber3">
    <w:name w:val="List Number 3"/>
    <w:basedOn w:val="List3"/>
    <w:rsid w:val="00142C9E"/>
    <w:pPr>
      <w:numPr>
        <w:numId w:val="6"/>
      </w:numPr>
    </w:pPr>
  </w:style>
  <w:style w:type="paragraph" w:styleId="ListNumber4">
    <w:name w:val="List Number 4"/>
    <w:basedOn w:val="List4"/>
    <w:rsid w:val="00142C9E"/>
    <w:pPr>
      <w:numPr>
        <w:numId w:val="7"/>
      </w:numPr>
    </w:pPr>
  </w:style>
  <w:style w:type="paragraph" w:styleId="ListNumber5">
    <w:name w:val="List Number 5"/>
    <w:basedOn w:val="List5"/>
    <w:rsid w:val="00142C9E"/>
    <w:pPr>
      <w:numPr>
        <w:numId w:val="8"/>
      </w:numPr>
    </w:pPr>
  </w:style>
  <w:style w:type="paragraph" w:styleId="BlockText">
    <w:name w:val="Block Text"/>
    <w:basedOn w:val="Normal"/>
    <w:rsid w:val="00142C9E"/>
    <w:pPr>
      <w:spacing w:after="120"/>
      <w:ind w:left="1440" w:right="1440"/>
    </w:pPr>
  </w:style>
  <w:style w:type="character" w:customStyle="1" w:styleId="Subscript">
    <w:name w:val="Subscript"/>
    <w:basedOn w:val="DefaultParagraphFont"/>
    <w:rsid w:val="00142C9E"/>
    <w:rPr>
      <w:sz w:val="16"/>
      <w:vertAlign w:val="subscript"/>
    </w:rPr>
  </w:style>
  <w:style w:type="character" w:customStyle="1" w:styleId="Superscript">
    <w:name w:val="Superscript"/>
    <w:basedOn w:val="DefaultParagraphFont"/>
    <w:rsid w:val="00142C9E"/>
    <w:rPr>
      <w:sz w:val="16"/>
      <w:vertAlign w:val="superscript"/>
    </w:rPr>
  </w:style>
  <w:style w:type="character" w:customStyle="1" w:styleId="Symbols">
    <w:name w:val="Symbols"/>
    <w:basedOn w:val="DefaultParagraphFont"/>
    <w:rsid w:val="00142C9E"/>
    <w:rPr>
      <w:rFonts w:ascii="Symbol" w:hAnsi="Symbol"/>
    </w:rPr>
  </w:style>
  <w:style w:type="character" w:customStyle="1" w:styleId="MenuOptions">
    <w:name w:val="Menu Options"/>
    <w:basedOn w:val="DefaultParagraphFont"/>
    <w:rsid w:val="00142C9E"/>
    <w:rPr>
      <w:rFonts w:ascii="Arial Narrow" w:hAnsi="Arial Narrow"/>
      <w:smallCaps/>
    </w:rPr>
  </w:style>
  <w:style w:type="character" w:customStyle="1" w:styleId="Buttons">
    <w:name w:val="Buttons"/>
    <w:basedOn w:val="DefaultParagraphFont"/>
    <w:rsid w:val="00142C9E"/>
    <w:rPr>
      <w:b/>
    </w:rPr>
  </w:style>
  <w:style w:type="character" w:customStyle="1" w:styleId="Underlined">
    <w:name w:val="Underlined"/>
    <w:basedOn w:val="DefaultParagraphFont"/>
    <w:rsid w:val="00142C9E"/>
    <w:rPr>
      <w:u w:val="single"/>
    </w:rPr>
  </w:style>
  <w:style w:type="paragraph" w:customStyle="1" w:styleId="TableBodyTextRight">
    <w:name w:val="Table Body Text Right"/>
    <w:basedOn w:val="TableBodyText"/>
    <w:rsid w:val="00142C9E"/>
    <w:pPr>
      <w:widowControl w:val="0"/>
      <w:autoSpaceDE w:val="0"/>
      <w:autoSpaceDN w:val="0"/>
      <w:adjustRightInd w:val="0"/>
      <w:jc w:val="right"/>
    </w:pPr>
    <w:rPr>
      <w:rFonts w:cs="Arial"/>
      <w:szCs w:val="18"/>
    </w:rPr>
  </w:style>
  <w:style w:type="paragraph" w:customStyle="1" w:styleId="CopyrightText">
    <w:name w:val="Copyright Text"/>
    <w:basedOn w:val="BodyText"/>
    <w:rsid w:val="00142C9E"/>
    <w:rPr>
      <w:sz w:val="18"/>
    </w:rPr>
  </w:style>
  <w:style w:type="paragraph" w:customStyle="1" w:styleId="BodySmallRight">
    <w:name w:val="Body Small Right"/>
    <w:basedOn w:val="BodyTextRight"/>
    <w:rsid w:val="00142C9E"/>
    <w:rPr>
      <w:sz w:val="18"/>
      <w:szCs w:val="18"/>
    </w:rPr>
  </w:style>
  <w:style w:type="paragraph" w:customStyle="1" w:styleId="MarginEdition">
    <w:name w:val="Margin Edition"/>
    <w:basedOn w:val="MarginNote"/>
    <w:rsid w:val="00142C9E"/>
    <w:pPr>
      <w:spacing w:before="0" w:after="0"/>
    </w:pPr>
    <w:rPr>
      <w:rFonts w:ascii="Times New Roman" w:hAnsi="Times New Roman"/>
      <w:color w:val="999999"/>
    </w:rPr>
  </w:style>
  <w:style w:type="paragraph" w:customStyle="1" w:styleId="Spacer">
    <w:name w:val="Spacer"/>
    <w:basedOn w:val="Normal"/>
    <w:rsid w:val="00142C9E"/>
    <w:rPr>
      <w:sz w:val="2"/>
      <w:szCs w:val="2"/>
    </w:rPr>
  </w:style>
  <w:style w:type="character" w:customStyle="1" w:styleId="Small">
    <w:name w:val="Small"/>
    <w:basedOn w:val="DefaultParagraphFont"/>
    <w:rsid w:val="00142C9E"/>
    <w:rPr>
      <w:sz w:val="16"/>
    </w:rPr>
  </w:style>
  <w:style w:type="paragraph" w:customStyle="1" w:styleId="WideTable">
    <w:name w:val="Wide Table"/>
    <w:basedOn w:val="Normal"/>
    <w:rsid w:val="00142C9E"/>
    <w:pPr>
      <w:ind w:left="-1418"/>
    </w:pPr>
    <w:rPr>
      <w:sz w:val="2"/>
      <w:szCs w:val="2"/>
    </w:rPr>
  </w:style>
  <w:style w:type="character" w:styleId="PageNumber">
    <w:name w:val="page number"/>
    <w:basedOn w:val="DefaultParagraphFont"/>
    <w:rsid w:val="00142C9E"/>
  </w:style>
  <w:style w:type="paragraph" w:styleId="Quote">
    <w:name w:val="Quote"/>
    <w:basedOn w:val="Heading1"/>
    <w:link w:val="QuoteChar"/>
    <w:qFormat/>
    <w:rsid w:val="00142C9E"/>
    <w:rPr>
      <w:b w:val="0"/>
      <w:sz w:val="72"/>
      <w:szCs w:val="72"/>
      <w:lang w:val="en-NZ"/>
    </w:rPr>
  </w:style>
  <w:style w:type="character" w:customStyle="1" w:styleId="QuoteChar">
    <w:name w:val="Quote Char"/>
    <w:basedOn w:val="DefaultParagraphFont"/>
    <w:link w:val="Quote"/>
    <w:rsid w:val="00142C9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42C9E"/>
    <w:pPr>
      <w:pageBreakBefore/>
    </w:pPr>
  </w:style>
  <w:style w:type="paragraph" w:customStyle="1" w:styleId="Border">
    <w:name w:val="Border"/>
    <w:basedOn w:val="Normal"/>
    <w:qFormat/>
    <w:rsid w:val="00142C9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42C9E"/>
    <w:rPr>
      <w:b/>
      <w:bCs/>
      <w:i/>
      <w:iCs/>
      <w:color w:val="auto"/>
    </w:rPr>
  </w:style>
  <w:style w:type="paragraph" w:styleId="IntenseQuote">
    <w:name w:val="Intense Quote"/>
    <w:basedOn w:val="Normal"/>
    <w:next w:val="Normal"/>
    <w:link w:val="IntenseQuoteChar"/>
    <w:uiPriority w:val="30"/>
    <w:qFormat/>
    <w:rsid w:val="00142C9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42C9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42C9E"/>
    <w:rPr>
      <w:smallCaps/>
      <w:color w:val="auto"/>
      <w:u w:val="single"/>
    </w:rPr>
  </w:style>
  <w:style w:type="character" w:styleId="IntenseReference">
    <w:name w:val="Intense Reference"/>
    <w:basedOn w:val="DefaultParagraphFont"/>
    <w:uiPriority w:val="32"/>
    <w:qFormat/>
    <w:rsid w:val="00142C9E"/>
    <w:rPr>
      <w:b/>
      <w:bCs/>
      <w:smallCaps/>
      <w:color w:val="auto"/>
      <w:spacing w:val="5"/>
      <w:u w:val="single"/>
    </w:rPr>
  </w:style>
  <w:style w:type="paragraph" w:customStyle="1" w:styleId="2ColumnHeading">
    <w:name w:val="2Column Heading"/>
    <w:basedOn w:val="BodyText"/>
    <w:qFormat/>
    <w:rsid w:val="00142C9E"/>
    <w:pPr>
      <w:spacing w:after="60"/>
      <w:ind w:left="-2268"/>
    </w:pPr>
    <w:rPr>
      <w:b/>
    </w:rPr>
  </w:style>
  <w:style w:type="paragraph" w:customStyle="1" w:styleId="Heading1TOC">
    <w:name w:val="Heading1 TOC"/>
    <w:basedOn w:val="Normal"/>
    <w:qFormat/>
    <w:rsid w:val="00142C9E"/>
    <w:pPr>
      <w:spacing w:before="240" w:after="120"/>
    </w:pPr>
    <w:rPr>
      <w:rFonts w:ascii="Times New Roman" w:hAnsi="Times New Roman"/>
      <w:b/>
      <w:sz w:val="32"/>
    </w:rPr>
  </w:style>
  <w:style w:type="paragraph" w:customStyle="1" w:styleId="Heading2TOC">
    <w:name w:val="Heading2 TOC"/>
    <w:basedOn w:val="Normal"/>
    <w:qFormat/>
    <w:rsid w:val="00142C9E"/>
    <w:pPr>
      <w:spacing w:before="240" w:after="60"/>
    </w:pPr>
    <w:rPr>
      <w:rFonts w:ascii="Times New Roman" w:hAnsi="Times New Roman"/>
      <w:b/>
      <w:sz w:val="28"/>
    </w:rPr>
  </w:style>
  <w:style w:type="character" w:customStyle="1" w:styleId="Underline">
    <w:name w:val="Underline"/>
    <w:basedOn w:val="DefaultParagraphFont"/>
    <w:qFormat/>
    <w:rsid w:val="00142C9E"/>
    <w:rPr>
      <w:u w:val="single"/>
    </w:rPr>
  </w:style>
  <w:style w:type="character" w:customStyle="1" w:styleId="BoldandItalics">
    <w:name w:val="Bold and Italics"/>
    <w:qFormat/>
    <w:rsid w:val="00142C9E"/>
    <w:rPr>
      <w:b/>
      <w:i/>
      <w:u w:val="none"/>
    </w:rPr>
  </w:style>
  <w:style w:type="paragraph" w:styleId="BalloonText">
    <w:name w:val="Balloon Text"/>
    <w:basedOn w:val="Normal"/>
    <w:link w:val="BalloonTextChar"/>
    <w:rsid w:val="00142C9E"/>
    <w:rPr>
      <w:rFonts w:ascii="Tahoma" w:hAnsi="Tahoma" w:cs="Tahoma"/>
      <w:sz w:val="16"/>
      <w:szCs w:val="16"/>
    </w:rPr>
  </w:style>
  <w:style w:type="character" w:customStyle="1" w:styleId="BalloonTextChar">
    <w:name w:val="Balloon Text Char"/>
    <w:basedOn w:val="DefaultParagraphFont"/>
    <w:link w:val="BalloonText"/>
    <w:rsid w:val="00142C9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42C9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42C9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42C9E"/>
    <w:rPr>
      <w:b/>
      <w:color w:val="660033"/>
      <w:spacing w:val="0"/>
    </w:rPr>
  </w:style>
  <w:style w:type="paragraph" w:customStyle="1" w:styleId="Nameditemlist">
    <w:name w:val="Named item list"/>
    <w:basedOn w:val="BodyText"/>
    <w:qFormat/>
    <w:rsid w:val="00142C9E"/>
    <w:pPr>
      <w:tabs>
        <w:tab w:val="left" w:pos="2835"/>
      </w:tabs>
      <w:ind w:left="2835" w:hanging="2835"/>
    </w:pPr>
  </w:style>
  <w:style w:type="paragraph" w:customStyle="1" w:styleId="BodyTextnopadding">
    <w:name w:val="Body Text no padding"/>
    <w:basedOn w:val="BodyText"/>
    <w:qFormat/>
    <w:rsid w:val="00142C9E"/>
    <w:pPr>
      <w:spacing w:before="0" w:after="0"/>
    </w:pPr>
  </w:style>
  <w:style w:type="paragraph" w:customStyle="1" w:styleId="BodyTextBold">
    <w:name w:val="Body Text Bold"/>
    <w:basedOn w:val="BodyText"/>
    <w:qFormat/>
    <w:rsid w:val="00142C9E"/>
    <w:rPr>
      <w:b/>
    </w:rPr>
  </w:style>
  <w:style w:type="character" w:styleId="Hyperlink">
    <w:name w:val="Hyperlink"/>
    <w:basedOn w:val="DefaultParagraphFont"/>
    <w:uiPriority w:val="99"/>
    <w:unhideWhenUsed/>
    <w:rsid w:val="00DD753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567</Words>
  <Characters>3964</Characters>
  <Application>Microsoft Office Word</Application>
  <DocSecurity>0</DocSecurity>
  <Lines>99</Lines>
  <Paragraphs>76</Paragraphs>
  <ScaleCrop>false</ScaleCrop>
  <Company>Author-it Software Corporation Ltd.</Company>
  <LinksUpToDate>false</LinksUpToDate>
  <CharactersWithSpaces>4455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UEERA0025 Design industrial refrigeration systems and select components</dc:title>
  <dc:subject>Approved</dc:subject>
  <dc:creator>Powering Skills Organisation</dc:creator>
  <cp:keywords>Release: 1</cp:keywords>
  <dc:description>Review Date: 12 April 2008</dc:description>
  <cp:lastModifiedBy>HSD_TPCMSd.prod</cp:lastModifiedBy>
  <cp:revision>3</cp:revision>
  <dcterms:created xsi:type="dcterms:W3CDTF">2024-11-29T00:52:00Z</dcterms:created>
  <dcterms:modified xsi:type="dcterms:W3CDTF">2024-11-29T00:52:00Z</dcterms:modified>
</cp:coreProperties>
</file>