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29D" w:rsidP="001C229D">
      <w:pPr>
        <w:pStyle w:val="Title"/>
      </w:pPr>
      <w:r>
        <w:fldChar w:fldCharType="begin"/>
      </w:r>
      <w:r>
        <w:instrText xml:space="preserve"> TITLE   \* MERGEFORMAT </w:instrText>
      </w:r>
      <w:r>
        <w:fldChar w:fldCharType="separate"/>
      </w:r>
      <w:r>
        <w:t>UEERA0012 Commission complex refrigeration/air conditioning control systems</w:t>
      </w:r>
      <w:r>
        <w:fldChar w:fldCharType="end"/>
      </w:r>
    </w:p>
    <w:p w:rsidR="001C229D" w:rsidP="001C229D">
      <w:pPr>
        <w:pStyle w:val="Version"/>
        <w:sectPr w:rsidSect="00EC6C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C67" w:rsidP="00EC6C67">
      <w:pPr>
        <w:pStyle w:val="SuperHeading"/>
      </w:pPr>
      <w:r w:rsidRPr="00EC6C67">
        <w:t>UEERA0012 Commission complex refrigeration/air conditioning control systems</w:t>
      </w:r>
    </w:p>
    <w:p w:rsidR="00000000" w:rsidRPr="00EC6C67" w:rsidP="00EC6C67">
      <w:pPr>
        <w:pStyle w:val="Heading1"/>
      </w:pPr>
      <w:bookmarkStart w:id="1" w:name="O_1083050"/>
      <w:bookmarkEnd w:id="1"/>
      <w:r w:rsidRPr="00EC6C67">
        <w:t>Modification History</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Release 1. This is the first release of this unit of competency in the UEE Electrotechnology Training Package.</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2" w:name="O_1083051"/>
      <w:bookmarkEnd w:id="2"/>
      <w:r w:rsidRPr="00EC6C67">
        <w:t>Application</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This unit involves the skills and knowledge required to set up, adjust and commission complex control systems for refrigeration or air conditioning optimum performance.</w:t>
            </w:r>
          </w:p>
          <w:p w:rsidR="00000000" w:rsidRPr="00EC6C67" w:rsidP="00EC6C67">
            <w:pPr>
              <w:pStyle w:val="BodyText"/>
            </w:pPr>
            <w:r w:rsidRPr="00EC6C67">
              <w:t>It includes applying safe working practices, testing and analysing system p</w:t>
            </w:r>
            <w:r w:rsidRPr="00EC6C67">
              <w:t>arameters, adjusting equipment and controls, following procedures and documenting final operating parameters and settings.</w:t>
            </w:r>
          </w:p>
          <w:p w:rsidR="00000000" w:rsidRPr="00EC6C67" w:rsidP="00EC6C67">
            <w:pPr>
              <w:pStyle w:val="BodyText"/>
            </w:pPr>
            <w:r w:rsidRPr="00EC6C67">
              <w:t>The skills and knowledge described in this unit require a licence or permit to practice in the workplace where work is carried out on</w:t>
            </w:r>
            <w:r w:rsidRPr="00EC6C67">
              <w:t xml:space="preserve"> electrical installations which are designed to operate at voltages greater than 50 volt (V) alternating current (a.c.) or 120 V direct current (d.c.).</w:t>
            </w:r>
          </w:p>
          <w:p w:rsidR="00000000" w:rsidRPr="00EC6C67" w:rsidP="00EC6C67">
            <w:pPr>
              <w:pStyle w:val="BodyText"/>
            </w:pPr>
            <w:r w:rsidRPr="00EC6C67">
              <w:t>Competency development activities in this unit are subject to regulations directly related to licensing.</w:t>
            </w:r>
            <w:r w:rsidRPr="00EC6C67">
              <w:t xml:space="preserve"> Where a licence or permit to practice is not held, skills and knowledge described in this unit require a relevant contract of training, such as an Australian Apprenticeship.</w:t>
            </w:r>
          </w:p>
          <w:p w:rsidR="00000000" w:rsidRPr="00EC6C67" w:rsidP="00EC6C67">
            <w:pPr>
              <w:pStyle w:val="BodyText"/>
            </w:pPr>
            <w:r w:rsidRPr="00EC6C67">
              <w:t>Additional and/or other conditions may apply in some jurisdictions subject to reg</w:t>
            </w:r>
            <w:r w:rsidRPr="00EC6C67">
              <w:t>ulations related to refrigeration, air conditioning or electrical work. Practice in the workplace and during training is also subject to work health and safety (WHS)/occupational health and safety (OHS) regulations.</w:t>
            </w:r>
          </w:p>
          <w:p w:rsidR="00000000" w:rsidRPr="00EC6C67" w:rsidP="00EC6C67">
            <w:pPr>
              <w:pStyle w:val="BodyText"/>
            </w:pPr>
            <w:r w:rsidRPr="00EC6C67">
              <w:t>Permits may also be required for some wo</w:t>
            </w:r>
            <w:r w:rsidRPr="00EC6C67">
              <w:t>rk environments, such as confined spaces, working aloft, near live electrical apparatus and site rehabilitation.</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3" w:name="O_1083052"/>
      <w:bookmarkEnd w:id="3"/>
      <w:r w:rsidRPr="00EC6C67">
        <w:t>Pre-requisite Unit</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UEECD0007 Apply work health and safety regulations, codes and practices in the workplace</w:t>
            </w:r>
          </w:p>
          <w:p w:rsidR="00000000" w:rsidRPr="00EC6C67" w:rsidP="00EC6C67">
            <w:pPr>
              <w:pStyle w:val="BodyText"/>
            </w:pPr>
            <w:r w:rsidRPr="00EC6C67">
              <w:t>UEECD0019 Fabr</w:t>
            </w:r>
            <w:r w:rsidRPr="00EC6C67">
              <w:t>icate, assemble and dismantle utilities industry components</w:t>
            </w:r>
          </w:p>
          <w:p w:rsidR="00000000" w:rsidRPr="00EC6C67" w:rsidP="00EC6C67">
            <w:pPr>
              <w:pStyle w:val="BodyText"/>
            </w:pPr>
            <w:r w:rsidRPr="00EC6C67">
              <w:t>UEECD0020 Fix and secure electrotechnology equipment</w:t>
            </w:r>
          </w:p>
          <w:p w:rsidR="00000000" w:rsidRPr="00EC6C67" w:rsidP="00EC6C67">
            <w:pPr>
              <w:pStyle w:val="BodyText"/>
            </w:pPr>
            <w:r w:rsidRPr="00EC6C67">
              <w:t>UEECD0051 Use drawings, diagrams, schedules, standards, codes and specifications</w:t>
            </w:r>
          </w:p>
          <w:p w:rsidR="00000000" w:rsidRPr="00EC6C67" w:rsidP="00EC6C67">
            <w:pPr>
              <w:pStyle w:val="BodyText"/>
            </w:pPr>
            <w:r w:rsidRPr="00EC6C67">
              <w:t>UEECD0016 Document and apply measures to control WHS risks ass</w:t>
            </w:r>
            <w:r w:rsidRPr="00EC6C67">
              <w:t>ociated with electrotechnology work</w:t>
            </w:r>
          </w:p>
          <w:p w:rsidR="00000000" w:rsidRPr="00EC6C67" w:rsidP="00EC6C67">
            <w:pPr>
              <w:pStyle w:val="BodyText"/>
            </w:pPr>
            <w:r w:rsidRPr="00EC6C67">
              <w:t>UEERA0059 Prepare and connect refrigerant tubing and fittings</w:t>
            </w:r>
          </w:p>
          <w:p w:rsidR="00000000" w:rsidRPr="00EC6C67" w:rsidP="00EC6C67">
            <w:pPr>
              <w:pStyle w:val="BodyText"/>
            </w:pPr>
            <w:r w:rsidRPr="00EC6C67">
              <w:t>UEERA0036 Establish the basic operating conditions of vapour compression systems</w:t>
            </w:r>
          </w:p>
          <w:p w:rsidR="00000000" w:rsidRPr="00EC6C67" w:rsidP="00EC6C67">
            <w:pPr>
              <w:pStyle w:val="BodyText"/>
            </w:pPr>
            <w:r w:rsidRPr="00EC6C67">
              <w:t>UEERA0035 Establish the basic operating conditions of air conditioning s</w:t>
            </w:r>
            <w:r w:rsidRPr="00EC6C67">
              <w:t>ystems</w:t>
            </w:r>
          </w:p>
          <w:p w:rsidR="00000000" w:rsidRPr="00EC6C67" w:rsidP="00EC6C67">
            <w:pPr>
              <w:pStyle w:val="BodyText"/>
            </w:pPr>
            <w:r w:rsidRPr="00EC6C67">
              <w:t>UEERA0050 Install refrigerant pipe work, flow controls and accessories</w:t>
            </w:r>
          </w:p>
          <w:p w:rsidR="00000000" w:rsidRPr="00EC6C67" w:rsidP="00EC6C67">
            <w:pPr>
              <w:pStyle w:val="BodyText"/>
            </w:pPr>
            <w:r w:rsidRPr="00EC6C67">
              <w:t>UEERA0094 Verify functionality and compliance of refrigeration and air conditioning installations</w:t>
            </w:r>
          </w:p>
          <w:p w:rsidR="00000000" w:rsidRPr="00EC6C67" w:rsidP="00EC6C67">
            <w:pPr>
              <w:pStyle w:val="BodyText"/>
            </w:pPr>
            <w:r w:rsidRPr="00EC6C67">
              <w:t>UEERA0081 Select refrigerant piping, accessories and associated controls</w:t>
            </w:r>
          </w:p>
          <w:p w:rsidR="00000000" w:rsidRPr="00EC6C67" w:rsidP="00EC6C67">
            <w:pPr>
              <w:pStyle w:val="BodyText"/>
            </w:pPr>
            <w:r w:rsidRPr="00EC6C67">
              <w:t>UEERA00</w:t>
            </w:r>
            <w:r w:rsidRPr="00EC6C67">
              <w:t>32 Diagnose and rectify faults in complex air conditioning/refrigeration systems</w:t>
            </w:r>
          </w:p>
          <w:p w:rsidR="00000000" w:rsidRPr="00EC6C67" w:rsidP="00EC6C67">
            <w:pPr>
              <w:pStyle w:val="BodyText"/>
            </w:pPr>
            <w:r w:rsidRPr="00EC6C67">
              <w:t>UEERA0033 Diagnose faults in complex HVAC/refrigeration control systems</w:t>
            </w:r>
          </w:p>
          <w:p w:rsidR="00000000" w:rsidRPr="00EC6C67" w:rsidP="00EC6C67">
            <w:pPr>
              <w:pStyle w:val="BodyText"/>
            </w:pPr>
            <w:r w:rsidRPr="00EC6C67">
              <w:t>UEERA0031 Diagnose and rectify faults in air conditioning and refrigeration control systems</w:t>
            </w:r>
          </w:p>
          <w:p w:rsidR="00000000" w:rsidRPr="00EC6C67" w:rsidP="00EC6C67">
            <w:pPr>
              <w:pStyle w:val="BodyText"/>
            </w:pPr>
            <w:r w:rsidRPr="00EC6C67">
              <w:t>UEERA0092 S</w:t>
            </w:r>
            <w:r w:rsidRPr="00EC6C67">
              <w:t>olve problems in low voltage refrigeration and air conditioning circuits</w:t>
            </w:r>
          </w:p>
          <w:p w:rsidR="00000000" w:rsidRPr="00EC6C67" w:rsidP="00EC6C67">
            <w:pPr>
              <w:pStyle w:val="BodyText"/>
            </w:pPr>
            <w:r w:rsidRPr="00EC6C67">
              <w:t>UEERL0005 Locate and rectify faults in low voltage (LV) electrical equipment using set procedures</w:t>
            </w:r>
          </w:p>
          <w:p w:rsidR="00000000" w:rsidRPr="00EC6C67" w:rsidP="00EC6C67">
            <w:pPr>
              <w:pStyle w:val="BodyText"/>
            </w:pPr>
            <w:r w:rsidRPr="00EC6C67">
              <w:t>UEERL0004 Disconnect - reconnect electrical equipment connected to low voltage (LV) i</w:t>
            </w:r>
            <w:r w:rsidRPr="00EC6C67">
              <w:t>nstallation wiring</w:t>
            </w:r>
          </w:p>
          <w:p w:rsidR="00000000" w:rsidRPr="00EC6C67" w:rsidP="00EC6C67">
            <w:pPr>
              <w:pStyle w:val="BodyText"/>
            </w:pPr>
            <w:r w:rsidRPr="00EC6C67">
              <w:t>UEERL0001 Attach cords and plugs to electrical equipment for connection to a single phase 230 Volt supply</w:t>
            </w:r>
          </w:p>
          <w:p w:rsidR="00000000" w:rsidRPr="00EC6C67" w:rsidP="00EC6C67">
            <w:pPr>
              <w:pStyle w:val="BodyText"/>
            </w:pPr>
            <w:r w:rsidRPr="00EC6C67">
              <w:t>UEERL0002 Attach cords, cables and plugs to electrical equipment for connection to 1000 V a.c. or 1500 V d.c.</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4" w:name="O_1083053"/>
      <w:bookmarkEnd w:id="4"/>
      <w:r w:rsidRPr="00EC6C67">
        <w:t>Competency Field</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Refrigeration and air-conditioning</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5" w:name="O_1083054"/>
      <w:bookmarkEnd w:id="5"/>
      <w:r w:rsidRPr="00EC6C67">
        <w:t>Unit Sector</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Electrotechnology</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6" w:name="O_1083055"/>
      <w:bookmarkEnd w:id="6"/>
      <w:r w:rsidRPr="00EC6C6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C6C6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PERFORMANCE CRITERIA</w:t>
            </w:r>
          </w:p>
        </w:tc>
      </w:tr>
      <w:tr w:rsidTr="00EC6C6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Performance criteria describe the performance needed to demonstrate achievement of the element.</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rPr>
                <w:rStyle w:val="SpecialBold"/>
              </w:rPr>
              <w:t>Prepare to commission complex control systems for refrigeration and air conditioning</w:t>
            </w: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WHS/OHS procedures are obtained and implemented in accordance with workplace procedures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WHS/OHS risk control measures and procedures for work are followed</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 xml:space="preserve">Safety hazards not previously identified are documented </w:t>
            </w:r>
            <w:r w:rsidRPr="00EC6C67">
              <w:t>and risk control measures imple</w:t>
            </w:r>
            <w:r w:rsidRPr="00EC6C67">
              <w:t>mented</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Appropriate person/s is consulted to ensure the work is coordinated effectively with others involved on the worksite</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System operating parameters are identified by reviewing system specifications and component technical data</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Tools, equipment and testing devices required for the work are obtained and checked for correct operation and safety in accordance with workplace procedures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Preparatory work is checked to ensure damage has not occurred and is compliant with requirem</w:t>
            </w:r>
            <w:r w:rsidRPr="00EC6C67">
              <w:t>ents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Need to test or measure live work is determined in accordance with workplace procedures and WHS/OHS requirements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Circuits are checked as being isolated in accordance with WHS/OHS requirements and workplace procedures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rPr>
                <w:rStyle w:val="SpecialBold"/>
              </w:rPr>
              <w:t>Commission complex control systems for refrigeration and air conditioning</w:t>
            </w: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WHS/OHS risk control measures and workplace procedures for carrying out the work are followed</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Testing/measuring devices are connected and set up in accordance with require</w:t>
            </w:r>
            <w:r w:rsidRPr="00EC6C67">
              <w:t>ments for a particular system</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Measurements and adjustments are made to equipment components and controls to provide optimum system performance in accordance with system specifications and regulatory requirements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Decisions for dealing with unexpected situations are made from discussions with appropriate person/s, job specifications and requirements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Unplanned situations are responded to in accordance with workplace procedures in a manner that minimises risk t</w:t>
            </w:r>
            <w:r w:rsidRPr="00EC6C67">
              <w:t>o personnel and equipment</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Commissioning is carried out efficiently without waste of materials or damage to apparatus, the surrounding environment or services applying sustainable energy principles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WHS/OHS risk control work completion measures and procedures are followed</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Worksite is cleaned and made safe in accordance with workplace procedures</w:t>
            </w:r>
          </w:p>
        </w:tc>
      </w:tr>
      <w:tr w:rsidTr="00EC6C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C6C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Adjustment settings and results of commissioning work are documented and appropriate person/s notified in accordance with workplace procedures</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7" w:name="O_1083056"/>
      <w:bookmarkEnd w:id="7"/>
      <w:r w:rsidRPr="00EC6C67">
        <w:t>Foundation Skills</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Foundation skills essential to performance are explicit in the performance</w:t>
            </w:r>
            <w:r w:rsidRPr="00EC6C67">
              <w:t xml:space="preserve"> criteria of this unit of competency.</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8" w:name="O_1083057"/>
      <w:bookmarkEnd w:id="8"/>
      <w:r w:rsidRPr="00EC6C67">
        <w:t>Range of Conditions</w:t>
      </w:r>
    </w:p>
    <w:tbl>
      <w:tblPr>
        <w:tblW w:w="9497" w:type="dxa"/>
        <w:tblLayout w:type="fixed"/>
        <w:tblCellMar>
          <w:left w:w="62" w:type="dxa"/>
          <w:right w:w="62" w:type="dxa"/>
        </w:tblCellMar>
        <w:tblLook w:val="0000"/>
      </w:tblPr>
      <w:tblGrid>
        <w:gridCol w:w="4623"/>
        <w:gridCol w:w="4874"/>
      </w:tblGrid>
      <w:tr w:rsidTr="00EC6C6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Range is restricted to essential operating conditions and any other variables essential to the work environment.</w:t>
            </w:r>
          </w:p>
          <w:p w:rsidR="00000000" w:rsidP="00EC6C67">
            <w:pPr>
              <w:pStyle w:val="BodyText"/>
              <w:rPr>
                <w:lang w:val="en-NZ"/>
              </w:rPr>
            </w:pPr>
            <w:r w:rsidRPr="00EC6C67">
              <w:t>Non-essential conditions may be found in the UEE Electrotechnology Training Package Companion Volume Implementation Guide.</w:t>
            </w:r>
          </w:p>
        </w:tc>
      </w:tr>
      <w:tr w:rsidTr="00EC6C6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Commissioning complex refrigeration and air conditioning control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EC6C67" w:rsidP="00EC6C67">
            <w:pPr>
              <w:pStyle w:val="ListBullet"/>
            </w:pPr>
            <w:r w:rsidRPr="00EC6C67">
              <w:t>two different comple</w:t>
            </w:r>
            <w:r w:rsidRPr="00EC6C67">
              <w:t>x control systems for refrigeration or air conditioning</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9" w:name="O_1083058"/>
      <w:bookmarkEnd w:id="9"/>
      <w:r w:rsidRPr="00EC6C67">
        <w:t>Unit Mapping Information</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This unit replaces and is equivalent to UEENEEJ126A Commission complex refrigeration/air conditioning control systems.</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10" w:name="O_1083065"/>
      <w:bookmarkEnd w:id="10"/>
      <w:r w:rsidRPr="00EC6C67">
        <w:t>Links</w:t>
      </w:r>
    </w:p>
    <w:p w:rsidR="00000000" w:rsidRPr="00EC6C67" w:rsidP="001C229D">
      <w:pPr>
        <w:pStyle w:val="BodyText"/>
      </w:pPr>
      <w:r w:rsidRPr="00EC6C6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75547">
        <w:rPr>
          <w:rStyle w:val="Hyperlink"/>
        </w:rPr>
        <w:t>https://vetnet.gov.au/Pages/TrainingDocs.aspx?q=b8a8f136-5421-4ce1-92e0-2b50341431b6</w:t>
      </w:r>
      <w:r>
        <w:fldChar w:fldCharType="end"/>
      </w:r>
    </w:p>
    <w:p w:rsidR="00000000" w:rsidRPr="00EC6C67" w:rsidP="001C229D">
      <w:pPr>
        <w:pStyle w:val="BodyText"/>
        <w:sectPr w:rsidSect="00EC6C67">
          <w:headerReference w:type="default" r:id="rId10"/>
          <w:footerReference w:type="default" r:id="rId11"/>
          <w:pgSz w:w="11908" w:h="16833"/>
          <w:pgMar w:top="1702" w:right="1418" w:bottom="1702" w:left="1418" w:header="992" w:footer="992" w:gutter="0"/>
          <w:cols w:space="720"/>
          <w:noEndnote/>
          <w:docGrid w:linePitch="299"/>
        </w:sectPr>
      </w:pPr>
    </w:p>
    <w:p w:rsidR="00000000" w:rsidRPr="00EC6C67" w:rsidP="00EC6C67">
      <w:pPr>
        <w:pStyle w:val="SuperHeading"/>
      </w:pPr>
      <w:r w:rsidRPr="00EC6C67">
        <w:t>Assessment Requirements for UEERA0012 Commission complex refr</w:t>
      </w:r>
      <w:r w:rsidRPr="00EC6C67">
        <w:t>igeration/air conditioning control systems</w:t>
      </w:r>
    </w:p>
    <w:p w:rsidR="00000000" w:rsidRPr="00EC6C67" w:rsidP="00EC6C67">
      <w:pPr>
        <w:pStyle w:val="Heading1"/>
      </w:pPr>
      <w:bookmarkStart w:id="11" w:name="O_1083060"/>
      <w:bookmarkEnd w:id="11"/>
      <w:r w:rsidRPr="00EC6C67">
        <w:t>Modification History</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Release 1. This is the first release of this unit of competency in the UEE Electrotechnology Training Package.</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12" w:name="O_1083061"/>
      <w:bookmarkEnd w:id="12"/>
      <w:r w:rsidRPr="00EC6C67">
        <w:t>Performance Evidence</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Evidence required to demonstrate competence in this unit must be relevant to and satisfy all of the requirements of the elements, performance criteria and range of conditions on at least one occasion and include:</w:t>
            </w:r>
          </w:p>
        </w:tc>
      </w:tr>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ListBullet"/>
            </w:pPr>
            <w:r w:rsidRPr="00EC6C67">
              <w:t>identifying system operating parameters</w:t>
            </w:r>
          </w:p>
          <w:p w:rsidR="00000000" w:rsidRPr="00EC6C67" w:rsidP="00EC6C67">
            <w:pPr>
              <w:pStyle w:val="ListBullet"/>
            </w:pPr>
            <w:r w:rsidRPr="00EC6C67">
              <w:t>m</w:t>
            </w:r>
            <w:r w:rsidRPr="00EC6C67">
              <w:t>easuring and adjusting system components and controls to provide optimum system performance</w:t>
            </w:r>
          </w:p>
          <w:p w:rsidR="00000000" w:rsidRPr="00EC6C67" w:rsidP="00EC6C67">
            <w:pPr>
              <w:pStyle w:val="ListBullet"/>
            </w:pPr>
            <w:r w:rsidRPr="00EC6C67">
              <w:t>ensuring system operates within regulatory requirements</w:t>
            </w:r>
          </w:p>
          <w:p w:rsidR="00000000" w:rsidRPr="00EC6C67" w:rsidP="00EC6C67">
            <w:pPr>
              <w:pStyle w:val="ListBullet"/>
            </w:pPr>
            <w:r w:rsidRPr="00EC6C67">
              <w:t>documenting adjustment settings with established procedures</w:t>
            </w:r>
          </w:p>
          <w:p w:rsidR="00000000" w:rsidRPr="00EC6C67" w:rsidP="00EC6C67">
            <w:pPr>
              <w:pStyle w:val="ListBullet"/>
            </w:pPr>
            <w:r w:rsidRPr="00EC6C67">
              <w:t>dealing with unplanned events</w:t>
            </w:r>
          </w:p>
          <w:p w:rsidR="00000000" w:rsidRPr="00EC6C67" w:rsidP="00EC6C67">
            <w:pPr>
              <w:pStyle w:val="ListBullet"/>
            </w:pPr>
            <w:r w:rsidRPr="00EC6C67">
              <w:t xml:space="preserve">applying relevant </w:t>
            </w:r>
            <w:r w:rsidRPr="00EC6C67">
              <w:t>legislation, industry standards, codes of practice and regulations</w:t>
            </w:r>
          </w:p>
          <w:p w:rsidR="00000000" w:rsidRPr="00EC6C67" w:rsidP="00EC6C67">
            <w:pPr>
              <w:pStyle w:val="ListBullet"/>
            </w:pPr>
            <w:r w:rsidRPr="00EC6C67">
              <w:t>applying relevant work health and safety (WHS)/occupational health and safety (OHS) requirements, including:</w:t>
            </w:r>
          </w:p>
          <w:p w:rsidR="00000000" w:rsidRPr="00EC6C67" w:rsidP="00EC6C67">
            <w:pPr>
              <w:pStyle w:val="ListBullet2"/>
            </w:pPr>
            <w:r w:rsidRPr="00EC6C67">
              <w:t>applying safe working practices</w:t>
            </w:r>
          </w:p>
          <w:p w:rsidR="00000000" w:rsidRPr="00EC6C67" w:rsidP="00EC6C67">
            <w:pPr>
              <w:pStyle w:val="ListBullet2"/>
            </w:pPr>
            <w:r w:rsidRPr="00EC6C67">
              <w:t>applying sustainable energy principles and practices</w:t>
            </w:r>
          </w:p>
          <w:p w:rsidR="00000000" w:rsidRPr="00EC6C67" w:rsidP="00EC6C67">
            <w:pPr>
              <w:pStyle w:val="ListBullet2"/>
            </w:pPr>
            <w:r w:rsidRPr="00EC6C67">
              <w:t>hazard identification and reporting</w:t>
            </w:r>
          </w:p>
          <w:p w:rsidR="00000000" w:rsidRPr="00EC6C67" w:rsidP="00EC6C67">
            <w:pPr>
              <w:pStyle w:val="ListBullet2"/>
            </w:pPr>
            <w:r w:rsidRPr="00EC6C67">
              <w:t>implementing risk control measures</w:t>
            </w:r>
          </w:p>
          <w:p w:rsidR="00000000" w:rsidRPr="00EC6C67" w:rsidP="00EC6C67">
            <w:pPr>
              <w:pStyle w:val="ListBullet"/>
            </w:pPr>
            <w:r w:rsidRPr="00EC6C67">
              <w:t>commissioning complex control systems for refrigeration/air conditioning</w:t>
            </w:r>
          </w:p>
          <w:p w:rsidR="00000000" w:rsidRPr="00EC6C67" w:rsidP="00EC6C67">
            <w:pPr>
              <w:pStyle w:val="ListBullet"/>
            </w:pPr>
            <w:r w:rsidRPr="00EC6C67">
              <w:t>completing and reporting commissioning activities</w:t>
            </w:r>
          </w:p>
          <w:p w:rsidR="00000000" w:rsidRPr="00EC6C67" w:rsidP="00EC6C67">
            <w:pPr>
              <w:pStyle w:val="ListBullet"/>
            </w:pPr>
            <w:r w:rsidRPr="00EC6C67">
              <w:t>determin</w:t>
            </w:r>
            <w:r w:rsidRPr="00EC6C67">
              <w:t>ing need to test or measure live work</w:t>
            </w:r>
          </w:p>
          <w:p w:rsidR="00000000" w:rsidRPr="00EC6C67" w:rsidP="00EC6C67">
            <w:pPr>
              <w:pStyle w:val="ListBullet"/>
            </w:pPr>
            <w:r w:rsidRPr="00EC6C67">
              <w:t>isolating circuits</w:t>
            </w:r>
          </w:p>
          <w:p w:rsidR="00000000" w:rsidRPr="00EC6C67" w:rsidP="00EC6C67">
            <w:pPr>
              <w:pStyle w:val="ListBullet"/>
            </w:pPr>
            <w:r w:rsidRPr="00EC6C67">
              <w:t>preparing to commission complex control systems for refrigeration and air conditioning</w:t>
            </w:r>
          </w:p>
          <w:p w:rsidR="00000000" w:rsidRPr="00EC6C67" w:rsidP="00EC6C67">
            <w:pPr>
              <w:pStyle w:val="ListBullet"/>
            </w:pPr>
            <w:r w:rsidRPr="00EC6C67">
              <w:t>using relevant tools, equipment, testing and measuring devices.</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13" w:name="O_1083062"/>
      <w:bookmarkEnd w:id="13"/>
      <w:r w:rsidRPr="00EC6C67">
        <w:t>Knowledge Evidence</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6C67">
            <w:pPr>
              <w:pStyle w:val="BodyText"/>
              <w:rPr>
                <w:lang w:val="en-NZ"/>
              </w:rPr>
            </w:pPr>
            <w:r w:rsidRPr="00EC6C67">
              <w:t>Evidence required to demonstrate competence in this unit must be relevant to and satisfy all of the requirements of the elements, performance criteria and range of conditions and include knowledge of:</w:t>
            </w:r>
          </w:p>
        </w:tc>
      </w:tr>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ListBullet"/>
            </w:pPr>
            <w:r w:rsidRPr="00EC6C67">
              <w:t>complex refrigeration/heating, ventilation and air co</w:t>
            </w:r>
            <w:r w:rsidRPr="00EC6C67">
              <w:t>nditioning (HVAC) control system commissioning, safe working practices and relevant standards, codes and regulations, including:</w:t>
            </w:r>
          </w:p>
          <w:p w:rsidR="00000000" w:rsidRPr="00EC6C67" w:rsidP="00EC6C67">
            <w:pPr>
              <w:pStyle w:val="ListBullet2"/>
            </w:pPr>
            <w:r w:rsidRPr="00EC6C67">
              <w:t>commissioning fundamentals:</w:t>
            </w:r>
          </w:p>
          <w:p w:rsidR="00000000" w:rsidRPr="00EC6C67" w:rsidP="00EC6C67">
            <w:pPr>
              <w:pStyle w:val="ListBullet3"/>
            </w:pPr>
            <w:r w:rsidRPr="00EC6C67">
              <w:t>building specifications/requirements/responsibilities</w:t>
            </w:r>
          </w:p>
          <w:p w:rsidR="00000000" w:rsidRPr="00EC6C67" w:rsidP="00EC6C67">
            <w:pPr>
              <w:pStyle w:val="ListBullet3"/>
            </w:pPr>
            <w:r w:rsidRPr="00EC6C67">
              <w:t>design and ‘as-installed’ drawings</w:t>
            </w:r>
          </w:p>
          <w:p w:rsidR="00000000" w:rsidRPr="00EC6C67" w:rsidP="00EC6C67">
            <w:pPr>
              <w:pStyle w:val="ListBullet3"/>
            </w:pPr>
            <w:r w:rsidRPr="00EC6C67">
              <w:t>building codes</w:t>
            </w:r>
          </w:p>
          <w:p w:rsidR="00000000" w:rsidRPr="00EC6C67" w:rsidP="00EC6C67">
            <w:pPr>
              <w:pStyle w:val="ListBullet3"/>
            </w:pPr>
            <w:r w:rsidRPr="00EC6C67">
              <w:t>local government regulations</w:t>
            </w:r>
          </w:p>
          <w:p w:rsidR="00000000" w:rsidRPr="00EC6C67" w:rsidP="00EC6C67">
            <w:pPr>
              <w:pStyle w:val="ListBullet3"/>
            </w:pPr>
            <w:r w:rsidRPr="00EC6C67">
              <w:t>design conditions</w:t>
            </w:r>
          </w:p>
          <w:p w:rsidR="00000000" w:rsidRPr="00EC6C67" w:rsidP="00EC6C67">
            <w:pPr>
              <w:pStyle w:val="ListBullet3"/>
            </w:pPr>
            <w:r w:rsidRPr="00EC6C67">
              <w:t>pre-commissioning checks</w:t>
            </w:r>
          </w:p>
          <w:p w:rsidR="00000000" w:rsidRPr="00EC6C67" w:rsidP="00EC6C67">
            <w:pPr>
              <w:pStyle w:val="ListBullet3"/>
            </w:pPr>
            <w:r w:rsidRPr="00EC6C67">
              <w:t>calibration of instruments</w:t>
            </w:r>
          </w:p>
          <w:p w:rsidR="00000000" w:rsidRPr="00EC6C67" w:rsidP="00EC6C67">
            <w:pPr>
              <w:pStyle w:val="ListBullet3"/>
            </w:pPr>
            <w:r w:rsidRPr="00EC6C67">
              <w:t>commissioning procedures</w:t>
            </w:r>
          </w:p>
          <w:p w:rsidR="00000000" w:rsidRPr="00EC6C67" w:rsidP="00EC6C67">
            <w:pPr>
              <w:pStyle w:val="ListBullet3"/>
            </w:pPr>
            <w:r w:rsidRPr="00EC6C67">
              <w:t>data collection, recording and, documentation</w:t>
            </w:r>
          </w:p>
          <w:p w:rsidR="00000000" w:rsidRPr="00EC6C67" w:rsidP="00EC6C67">
            <w:pPr>
              <w:pStyle w:val="ListBullet3"/>
            </w:pPr>
            <w:r w:rsidRPr="00EC6C67">
              <w:t>reporting procedures</w:t>
            </w:r>
          </w:p>
          <w:p w:rsidR="00000000" w:rsidRPr="00EC6C67" w:rsidP="00EC6C67">
            <w:pPr>
              <w:pStyle w:val="ListBullet2"/>
            </w:pPr>
            <w:r w:rsidRPr="00EC6C67">
              <w:t>control fundamentals:</w:t>
            </w:r>
          </w:p>
          <w:p w:rsidR="00000000" w:rsidRPr="00EC6C67" w:rsidP="00EC6C67">
            <w:pPr>
              <w:pStyle w:val="ListBullet3"/>
            </w:pPr>
            <w:r w:rsidRPr="00EC6C67">
              <w:t>control terminology</w:t>
            </w:r>
          </w:p>
          <w:p w:rsidR="00000000" w:rsidRPr="00EC6C67" w:rsidP="00EC6C67">
            <w:pPr>
              <w:pStyle w:val="ListBullet3"/>
            </w:pPr>
            <w:r w:rsidRPr="00EC6C67">
              <w:t>refrig</w:t>
            </w:r>
            <w:r w:rsidRPr="00EC6C67">
              <w:t>eration system characteristics</w:t>
            </w:r>
          </w:p>
          <w:p w:rsidR="00000000" w:rsidRPr="00EC6C67" w:rsidP="00EC6C67">
            <w:pPr>
              <w:pStyle w:val="ListBullet3"/>
            </w:pPr>
            <w:r w:rsidRPr="00EC6C67">
              <w:t>HVAC system characteristics</w:t>
            </w:r>
          </w:p>
          <w:p w:rsidR="00000000" w:rsidRPr="00EC6C67" w:rsidP="00EC6C67">
            <w:pPr>
              <w:pStyle w:val="ListBullet3"/>
            </w:pPr>
            <w:r w:rsidRPr="00EC6C67">
              <w:t>control system characteristics</w:t>
            </w:r>
          </w:p>
          <w:p w:rsidR="00000000" w:rsidRPr="00EC6C67" w:rsidP="00EC6C67">
            <w:pPr>
              <w:pStyle w:val="ListBullet3"/>
            </w:pPr>
            <w:r w:rsidRPr="00EC6C67">
              <w:t>control system components</w:t>
            </w:r>
          </w:p>
          <w:p w:rsidR="00000000" w:rsidRPr="00EC6C67" w:rsidP="00EC6C67">
            <w:pPr>
              <w:pStyle w:val="ListBullet3"/>
            </w:pPr>
            <w:r w:rsidRPr="00EC6C67">
              <w:t>control system diagrams and symbols</w:t>
            </w:r>
          </w:p>
          <w:p w:rsidR="00000000" w:rsidRPr="00EC6C67" w:rsidP="00EC6C67">
            <w:pPr>
              <w:pStyle w:val="ListBullet3"/>
            </w:pPr>
            <w:r w:rsidRPr="00EC6C67">
              <w:t>product knowledge</w:t>
            </w:r>
          </w:p>
          <w:p w:rsidR="00000000" w:rsidRPr="00EC6C67" w:rsidP="00EC6C67">
            <w:pPr>
              <w:pStyle w:val="ListBullet2"/>
            </w:pPr>
            <w:r w:rsidRPr="00EC6C67">
              <w:t>commissioning various types of control equipment:</w:t>
            </w:r>
          </w:p>
          <w:p w:rsidR="00000000" w:rsidRPr="00EC6C67" w:rsidP="00EC6C67">
            <w:pPr>
              <w:pStyle w:val="ListBullet3"/>
            </w:pPr>
            <w:r w:rsidRPr="00EC6C67">
              <w:t>electrical:</w:t>
            </w:r>
          </w:p>
          <w:p w:rsidR="00000000" w:rsidRPr="00EC6C67" w:rsidP="00EC6C67">
            <w:pPr>
              <w:pStyle w:val="ListBullet4"/>
            </w:pPr>
            <w:r w:rsidRPr="00EC6C67">
              <w:t>sensors</w:t>
            </w:r>
          </w:p>
          <w:p w:rsidR="00000000" w:rsidRPr="00EC6C67" w:rsidP="00EC6C67">
            <w:pPr>
              <w:pStyle w:val="ListBullet4"/>
            </w:pPr>
            <w:r w:rsidRPr="00EC6C67">
              <w:t>controllers</w:t>
            </w:r>
          </w:p>
          <w:p w:rsidR="00000000" w:rsidRPr="00EC6C67" w:rsidP="00EC6C67">
            <w:pPr>
              <w:pStyle w:val="ListBullet4"/>
            </w:pPr>
            <w:r w:rsidRPr="00EC6C67">
              <w:t>flow control devices</w:t>
            </w:r>
          </w:p>
          <w:p w:rsidR="00000000" w:rsidRPr="00EC6C67" w:rsidP="00EC6C67">
            <w:pPr>
              <w:pStyle w:val="ListBullet4"/>
            </w:pPr>
            <w:r w:rsidRPr="00EC6C67">
              <w:t>control systems diagrams</w:t>
            </w:r>
          </w:p>
          <w:p w:rsidR="00000000" w:rsidRPr="00EC6C67" w:rsidP="00EC6C67">
            <w:pPr>
              <w:pStyle w:val="ListBullet3"/>
            </w:pPr>
            <w:r w:rsidRPr="00EC6C67">
              <w:t>electronic:</w:t>
            </w:r>
          </w:p>
          <w:p w:rsidR="00000000" w:rsidRPr="00EC6C67" w:rsidP="00EC6C67">
            <w:pPr>
              <w:pStyle w:val="ListBullet4"/>
            </w:pPr>
            <w:r w:rsidRPr="00EC6C67">
              <w:t>sensors</w:t>
            </w:r>
          </w:p>
          <w:p w:rsidR="00000000" w:rsidRPr="00EC6C67" w:rsidP="00EC6C67">
            <w:pPr>
              <w:pStyle w:val="ListBullet4"/>
            </w:pPr>
            <w:r w:rsidRPr="00EC6C67">
              <w:t>controllers</w:t>
            </w:r>
          </w:p>
          <w:p w:rsidR="00000000" w:rsidRPr="00EC6C67" w:rsidP="00EC6C67">
            <w:pPr>
              <w:pStyle w:val="ListBullet4"/>
            </w:pPr>
            <w:r w:rsidRPr="00EC6C67">
              <w:t>control system diagrams</w:t>
            </w:r>
          </w:p>
          <w:p w:rsidR="00000000" w:rsidRPr="00EC6C67" w:rsidP="00EC6C67">
            <w:pPr>
              <w:pStyle w:val="ListBullet2"/>
            </w:pPr>
            <w:r w:rsidRPr="00EC6C67">
              <w:t>digital control systems:</w:t>
            </w:r>
          </w:p>
          <w:p w:rsidR="00000000" w:rsidRPr="00EC6C67" w:rsidP="00EC6C67">
            <w:pPr>
              <w:pStyle w:val="ListBullet3"/>
            </w:pPr>
            <w:r w:rsidRPr="00EC6C67">
              <w:t>system diagrams</w:t>
            </w:r>
          </w:p>
          <w:p w:rsidR="00000000" w:rsidRPr="00EC6C67" w:rsidP="00EC6C67">
            <w:pPr>
              <w:pStyle w:val="ListBullet3"/>
            </w:pPr>
            <w:r w:rsidRPr="00EC6C67">
              <w:t>control diagrams</w:t>
            </w:r>
          </w:p>
          <w:p w:rsidR="00000000" w:rsidRPr="00EC6C67" w:rsidP="00EC6C67">
            <w:pPr>
              <w:pStyle w:val="ListBullet3"/>
            </w:pPr>
            <w:r w:rsidRPr="00EC6C67">
              <w:t>configuration</w:t>
            </w:r>
          </w:p>
          <w:p w:rsidR="00000000" w:rsidRPr="00EC6C67" w:rsidP="00EC6C67">
            <w:pPr>
              <w:pStyle w:val="ListBullet3"/>
            </w:pPr>
            <w:r w:rsidRPr="00EC6C67">
              <w:t>programming</w:t>
            </w:r>
          </w:p>
          <w:p w:rsidR="00000000" w:rsidRPr="00EC6C67" w:rsidP="00EC6C67">
            <w:pPr>
              <w:pStyle w:val="ListBullet3"/>
            </w:pPr>
            <w:r w:rsidRPr="00EC6C67">
              <w:t>initialisation</w:t>
            </w:r>
          </w:p>
          <w:p w:rsidR="00000000" w:rsidRPr="00EC6C67" w:rsidP="00EC6C67">
            <w:pPr>
              <w:pStyle w:val="ListBullet3"/>
            </w:pPr>
            <w:r w:rsidRPr="00EC6C67">
              <w:t>EMS and BMS</w:t>
            </w:r>
          </w:p>
          <w:p w:rsidR="00000000" w:rsidRPr="00EC6C67" w:rsidP="00EC6C67">
            <w:pPr>
              <w:pStyle w:val="ListBullet3"/>
            </w:pPr>
            <w:r w:rsidRPr="00EC6C67">
              <w:t>supervisory control and data acquisition (SCADA) system</w:t>
            </w:r>
          </w:p>
          <w:p w:rsidR="00000000" w:rsidRPr="00EC6C67" w:rsidP="00EC6C67">
            <w:pPr>
              <w:pStyle w:val="ListBullet3"/>
            </w:pPr>
            <w:r w:rsidRPr="00EC6C67">
              <w:t>lan and Bacnet</w:t>
            </w:r>
          </w:p>
          <w:p w:rsidR="00000000" w:rsidRPr="00EC6C67" w:rsidP="00EC6C67">
            <w:pPr>
              <w:pStyle w:val="ListBullet2"/>
            </w:pPr>
            <w:r w:rsidRPr="00EC6C67">
              <w:t>relevant manufacturer specifications</w:t>
            </w:r>
          </w:p>
          <w:p w:rsidR="00000000" w:rsidRPr="00EC6C67" w:rsidP="00EC6C67">
            <w:pPr>
              <w:pStyle w:val="ListBullet2"/>
            </w:pPr>
            <w:r w:rsidRPr="00EC6C67">
              <w:t>relevant plant and equipment</w:t>
            </w:r>
          </w:p>
          <w:p w:rsidR="00000000" w:rsidRPr="00EC6C67" w:rsidP="00EC6C67">
            <w:pPr>
              <w:pStyle w:val="ListBullet2"/>
            </w:pPr>
            <w:r w:rsidRPr="00EC6C67">
              <w:t>relevant safe work method statements (SWMS)/job safety assessments or risk mitigation processes</w:t>
            </w:r>
          </w:p>
          <w:p w:rsidR="00000000" w:rsidRPr="00EC6C67" w:rsidP="00EC6C67">
            <w:pPr>
              <w:pStyle w:val="ListBullet2"/>
            </w:pPr>
            <w:r w:rsidRPr="00EC6C67">
              <w:t>relevant tools, equipm</w:t>
            </w:r>
            <w:r w:rsidRPr="00EC6C67">
              <w:t>ent and testing devices</w:t>
            </w:r>
          </w:p>
          <w:p w:rsidR="00000000" w:rsidRPr="00EC6C67" w:rsidP="00EC6C67">
            <w:pPr>
              <w:pStyle w:val="ListBullet2"/>
            </w:pPr>
            <w:r w:rsidRPr="00EC6C67">
              <w:t>relevant WHS/OHS legislated requirements, including:</w:t>
            </w:r>
          </w:p>
          <w:p w:rsidR="00000000" w:rsidRPr="00EC6C67" w:rsidP="00EC6C67">
            <w:pPr>
              <w:pStyle w:val="ListBullet3"/>
            </w:pPr>
            <w:r w:rsidRPr="00EC6C67">
              <w:t>environmental and sustainable energy principles and practices</w:t>
            </w:r>
          </w:p>
          <w:p w:rsidR="00000000" w:rsidRPr="00EC6C67" w:rsidP="00EC6C67">
            <w:pPr>
              <w:pStyle w:val="ListBullet3"/>
            </w:pPr>
            <w:r w:rsidRPr="00EC6C67">
              <w:t>risk control measures</w:t>
            </w:r>
          </w:p>
          <w:p w:rsidR="00000000" w:rsidRPr="00EC6C67" w:rsidP="00EC6C67">
            <w:pPr>
              <w:pStyle w:val="ListBullet2"/>
            </w:pPr>
            <w:r w:rsidRPr="00EC6C67">
              <w:t>relevant workplace documentation</w:t>
            </w:r>
          </w:p>
          <w:p w:rsidR="00000000" w:rsidRPr="00EC6C67" w:rsidP="00EC6C67">
            <w:pPr>
              <w:pStyle w:val="ListBullet2"/>
            </w:pPr>
            <w:r w:rsidRPr="00EC6C67">
              <w:t>relevant workplace policies and procedures</w:t>
            </w:r>
          </w:p>
          <w:p w:rsidR="00000000" w:rsidRPr="00EC6C67" w:rsidP="00EC6C67">
            <w:pPr>
              <w:pStyle w:val="ListBullet2"/>
            </w:pPr>
            <w:r w:rsidRPr="00EC6C67">
              <w:t>system operating parameters.</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14" w:name="O_1083063"/>
      <w:bookmarkEnd w:id="14"/>
      <w:r w:rsidRPr="00EC6C67">
        <w:t>Assessment Conditions</w:t>
      </w:r>
    </w:p>
    <w:tbl>
      <w:tblPr>
        <w:tblW w:w="9497" w:type="dxa"/>
        <w:tblLayout w:type="fixed"/>
        <w:tblCellMar>
          <w:left w:w="62" w:type="dxa"/>
          <w:right w:w="62" w:type="dxa"/>
        </w:tblCellMar>
        <w:tblLook w:val="0000"/>
      </w:tblPr>
      <w:tblGrid>
        <w:gridCol w:w="9497"/>
      </w:tblGrid>
      <w:tr w:rsidTr="00EC6C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C67" w:rsidP="00EC6C67">
            <w:pPr>
              <w:pStyle w:val="BodyText"/>
            </w:pPr>
            <w:r w:rsidRPr="00EC6C67">
              <w:t>Assessors must hold credentials specified within the Standards for Registered Training Organisations current at the time of assessment.</w:t>
            </w:r>
          </w:p>
          <w:p w:rsidR="00000000" w:rsidRPr="00EC6C67" w:rsidP="00EC6C67">
            <w:pPr>
              <w:pStyle w:val="BodyText"/>
            </w:pPr>
            <w:r w:rsidRPr="00EC6C67">
              <w:t>Assessment must satisfy the Principles of Assessment and Rules of Evidence and all regulatory requirements included within the Standards for Registered Training Organisations current at the time of assessment.</w:t>
            </w:r>
          </w:p>
          <w:p w:rsidR="00000000" w:rsidRPr="00EC6C67" w:rsidP="00EC6C67">
            <w:pPr>
              <w:pStyle w:val="BodyText"/>
            </w:pPr>
            <w:r w:rsidRPr="00EC6C67">
              <w:t>Assessment must occur in workplace operational</w:t>
            </w:r>
            <w:r w:rsidRPr="00EC6C67">
              <w:t xml:space="preserve"> situations where it is appropriate to do so; where this is not appropriate, assessment must occur in simulated workplace operational situations that replicate workplace conditions.</w:t>
            </w:r>
          </w:p>
          <w:p w:rsidR="00000000" w:rsidRPr="00EC6C67" w:rsidP="00EC6C67">
            <w:pPr>
              <w:pStyle w:val="BodyText"/>
            </w:pPr>
            <w:r w:rsidRPr="00EC6C67">
              <w:t>Assessment processes and techniques must be appropriate to the language, l</w:t>
            </w:r>
            <w:r w:rsidRPr="00EC6C67">
              <w:t xml:space="preserve">iteracy and numeracy </w:t>
            </w:r>
            <w:r w:rsidRPr="00EC6C67">
              <w:t>requirements of the work being performed and the needs of the candidate.</w:t>
            </w:r>
          </w:p>
          <w:p w:rsidR="00000000" w:rsidRPr="00EC6C67" w:rsidP="00EC6C67">
            <w:pPr>
              <w:pStyle w:val="BodyText"/>
            </w:pPr>
            <w:r w:rsidRPr="00EC6C67">
              <w:t>Resources for assessment must include access to:</w:t>
            </w:r>
          </w:p>
          <w:p w:rsidR="00000000" w:rsidRPr="00EC6C67" w:rsidP="00EC6C67">
            <w:pPr>
              <w:pStyle w:val="ListBullet"/>
            </w:pPr>
            <w:r w:rsidRPr="00EC6C67">
              <w:t>a range of relevant exercises, case studies and/or other simulations</w:t>
            </w:r>
          </w:p>
          <w:p w:rsidR="00000000" w:rsidRPr="00EC6C67" w:rsidP="00EC6C67">
            <w:pPr>
              <w:pStyle w:val="ListBullet"/>
            </w:pPr>
            <w:r w:rsidRPr="00EC6C67">
              <w:t xml:space="preserve">relevant and appropriate materials, tools, </w:t>
            </w:r>
            <w:r w:rsidRPr="00EC6C67">
              <w:t>equipment and personal protective equipment (PPE) currently used in industry</w:t>
            </w:r>
          </w:p>
          <w:p w:rsidR="00000000" w:rsidRPr="00EC6C67" w:rsidP="00EC6C67">
            <w:pPr>
              <w:pStyle w:val="ListBullet"/>
            </w:pPr>
            <w:r w:rsidRPr="00EC6C67">
              <w:t>applicable documentation, including workplace procedures, equipment specifications, regulations, codes of practice and operation manuals.</w:t>
            </w:r>
          </w:p>
        </w:tc>
      </w:tr>
    </w:tbl>
    <w:p w:rsidR="00000000" w:rsidRPr="00EC6C67" w:rsidP="00EC6C67">
      <w:pPr>
        <w:pStyle w:val="NoPaddingFontSize1"/>
      </w:pPr>
    </w:p>
    <w:p w:rsidR="00000000" w:rsidRPr="00EC6C67" w:rsidP="00EC6C67">
      <w:pPr>
        <w:pStyle w:val="AllowPageBreak"/>
      </w:pPr>
    </w:p>
    <w:p w:rsidR="00000000" w:rsidRPr="00EC6C67" w:rsidP="00EC6C67">
      <w:pPr>
        <w:pStyle w:val="Heading1"/>
      </w:pPr>
      <w:bookmarkStart w:id="15" w:name="O_1083066"/>
      <w:bookmarkEnd w:id="15"/>
      <w:r w:rsidRPr="00EC6C67">
        <w:t>Links</w:t>
      </w:r>
    </w:p>
    <w:p w:rsidR="00000000" w:rsidRPr="00EC6C67" w:rsidP="001C229D">
      <w:pPr>
        <w:pStyle w:val="BodyText"/>
      </w:pPr>
      <w:r w:rsidRPr="00EC6C6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75547">
        <w:rPr>
          <w:rStyle w:val="Hyperlink"/>
        </w:rPr>
        <w:t>https://vetnet.gov.au/Pages/TrainingDocs.aspx?q=b8a8f136-5421-4ce1-92e0-2b50341431b6</w:t>
      </w:r>
      <w:r>
        <w:fldChar w:fldCharType="end"/>
      </w:r>
    </w:p>
    <w:p w:rsidR="00000000" w:rsidRPr="00EC6C67" w:rsidP="00EC6C67"/>
    <w:sectPr w:rsidSect="00EC6C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67" w:rsidRPr="001C229D" w:rsidP="001C2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D" w:rsidP="00EC6C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229D" w:rsidP="00EC6C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C229D" w:rsidP="00EC6C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67" w:rsidP="00EC6C67">
    <w:pPr>
      <w:pStyle w:val="Footer"/>
      <w:framePr w:wrap="around"/>
    </w:pPr>
    <w:r>
      <w:fldChar w:fldCharType="begin"/>
    </w:r>
    <w:r>
      <w:instrText xml:space="preserve"> DOCPROPERTY  Subject  \* MERGEFORMAT </w:instrText>
    </w:r>
    <w:r>
      <w:fldChar w:fldCharType="separate"/>
    </w:r>
    <w:r w:rsidR="001C229D">
      <w:t>Approved</w:t>
    </w:r>
    <w:r w:rsidR="001C229D">
      <w:fldChar w:fldCharType="end"/>
    </w:r>
    <w:r>
      <w:tab/>
      <w:t xml:space="preserve">Page </w:t>
    </w:r>
    <w:r>
      <w:fldChar w:fldCharType="begin"/>
    </w:r>
    <w:r>
      <w:instrText xml:space="preserve"> PAGE  \* Arabic  \* MERGEFORMAT </w:instrText>
    </w:r>
    <w:r>
      <w:fldChar w:fldCharType="separate"/>
    </w:r>
    <w:r w:rsidR="001C22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229D">
      <w:rPr>
        <w:noProof/>
      </w:rPr>
      <w:t>6</w:t>
    </w:r>
    <w:r>
      <w:rPr>
        <w:noProof/>
      </w:rPr>
      <w:fldChar w:fldCharType="end"/>
    </w:r>
  </w:p>
  <w:p w:rsidR="00EC6C67" w:rsidP="00EC6C67">
    <w:pPr>
      <w:pStyle w:val="Footer"/>
      <w:framePr w:wrap="around"/>
    </w:pPr>
    <w:r>
      <w:t xml:space="preserve">© Commonwealth of Australia, </w:t>
    </w:r>
    <w:r>
      <w:fldChar w:fldCharType="begin"/>
    </w:r>
    <w:r>
      <w:instrText xml:space="preserve"> DATE  \@ "yyyy"  \* MERGEFORMAT </w:instrText>
    </w:r>
    <w:r>
      <w:fldChar w:fldCharType="separate"/>
    </w:r>
    <w:r w:rsidR="001C229D">
      <w:rPr>
        <w:noProof/>
      </w:rPr>
      <w:t>2025</w:t>
    </w:r>
    <w:r>
      <w:fldChar w:fldCharType="end"/>
    </w:r>
    <w:r>
      <w:tab/>
    </w:r>
    <w:r>
      <w:fldChar w:fldCharType="begin"/>
    </w:r>
    <w:r>
      <w:instrText xml:space="preserve"> DOCPROPERTY  Author  \* MERGEFORMAT </w:instrText>
    </w:r>
    <w:r>
      <w:fldChar w:fldCharType="separate"/>
    </w:r>
    <w:r w:rsidR="001C229D">
      <w:t>Powering Skills Organisation</w:t>
    </w:r>
    <w:r w:rsidR="001C229D">
      <w:fldChar w:fldCharType="end"/>
    </w:r>
  </w:p>
  <w:p w:rsidR="00EC6C67" w:rsidP="00EC6C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C67" w:rsidRPr="001C229D" w:rsidP="001C22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D" w:rsidRPr="002D2AF8" w:rsidP="00EC6C67">
    <w:pPr>
      <w:pStyle w:val="Header"/>
      <w:framePr w:wrap="around"/>
    </w:pPr>
    <w:r>
      <w:fldChar w:fldCharType="begin"/>
    </w:r>
    <w:r>
      <w:instrText xml:space="preserve"> TITLE   \* MERGEFORMAT </w:instrText>
    </w:r>
    <w:r>
      <w:fldChar w:fldCharType="separate"/>
    </w:r>
    <w:r>
      <w:t>UEERA0012 Commission complex refrigeration/air conditioning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229D" w:rsidP="00EC6C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67" w:rsidRPr="002D2AF8" w:rsidP="00EC6C67">
    <w:pPr>
      <w:pStyle w:val="Header"/>
      <w:framePr w:wrap="around"/>
    </w:pPr>
    <w:r>
      <w:fldChar w:fldCharType="begin"/>
    </w:r>
    <w:r>
      <w:instrText xml:space="preserve"> TITLE   \* MERGEFORMAT </w:instrText>
    </w:r>
    <w:r>
      <w:fldChar w:fldCharType="separate"/>
    </w:r>
    <w:r w:rsidR="001C229D">
      <w:t>UEERA0012 Commission complex refrigeration/air conditioning control systems</w:t>
    </w:r>
    <w:r w:rsidR="001C229D">
      <w:fldChar w:fldCharType="end"/>
    </w:r>
    <w:r>
      <w:tab/>
      <w:t xml:space="preserve">Date this document was generated: </w:t>
    </w:r>
    <w:r>
      <w:fldChar w:fldCharType="begin"/>
    </w:r>
    <w:r>
      <w:instrText xml:space="preserve"> CREATEDATE  \@ "d MMMM yyyy"  \* MERGEFORMAT </w:instrText>
    </w:r>
    <w:r>
      <w:fldChar w:fldCharType="separate"/>
    </w:r>
    <w:r w:rsidR="001C229D">
      <w:rPr>
        <w:noProof/>
      </w:rPr>
      <w:t>2 March 2025</w:t>
    </w:r>
    <w:r>
      <w:fldChar w:fldCharType="end"/>
    </w:r>
  </w:p>
  <w:p w:rsidR="00EC6C67" w:rsidP="00EC6C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E7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A1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02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C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C67"/>
    <w:pPr>
      <w:spacing w:before="360" w:after="60"/>
      <w:outlineLvl w:val="0"/>
    </w:pPr>
    <w:rPr>
      <w:sz w:val="32"/>
    </w:rPr>
  </w:style>
  <w:style w:type="paragraph" w:styleId="Heading2">
    <w:name w:val="heading 2"/>
    <w:basedOn w:val="HeadingBase"/>
    <w:next w:val="BodyText"/>
    <w:link w:val="Heading2Char"/>
    <w:qFormat/>
    <w:rsid w:val="00EC6C67"/>
    <w:pPr>
      <w:keepLines/>
      <w:spacing w:before="240" w:after="120"/>
      <w:outlineLvl w:val="1"/>
    </w:pPr>
    <w:rPr>
      <w:sz w:val="28"/>
      <w:szCs w:val="40"/>
    </w:rPr>
  </w:style>
  <w:style w:type="paragraph" w:styleId="Heading3">
    <w:name w:val="heading 3"/>
    <w:basedOn w:val="HeadingBase"/>
    <w:next w:val="BodyText"/>
    <w:link w:val="Heading3Char"/>
    <w:qFormat/>
    <w:rsid w:val="00EC6C67"/>
    <w:pPr>
      <w:spacing w:before="180" w:after="120"/>
      <w:outlineLvl w:val="2"/>
    </w:pPr>
    <w:rPr>
      <w:spacing w:val="-10"/>
      <w:kern w:val="32"/>
    </w:rPr>
  </w:style>
  <w:style w:type="paragraph" w:styleId="Heading4">
    <w:name w:val="heading 4"/>
    <w:basedOn w:val="HeadingBase"/>
    <w:next w:val="BodyText"/>
    <w:link w:val="Heading4Char"/>
    <w:qFormat/>
    <w:rsid w:val="00EC6C67"/>
    <w:pPr>
      <w:spacing w:before="160" w:after="120"/>
      <w:outlineLvl w:val="3"/>
    </w:pPr>
    <w:rPr>
      <w:sz w:val="22"/>
    </w:rPr>
  </w:style>
  <w:style w:type="paragraph" w:styleId="Heading5">
    <w:name w:val="heading 5"/>
    <w:basedOn w:val="HeadingBase"/>
    <w:next w:val="Normal"/>
    <w:link w:val="Heading5Char"/>
    <w:qFormat/>
    <w:rsid w:val="00EC6C67"/>
    <w:pPr>
      <w:spacing w:before="80"/>
      <w:outlineLvl w:val="4"/>
    </w:pPr>
    <w:rPr>
      <w:color w:val="918585"/>
      <w:sz w:val="20"/>
    </w:rPr>
  </w:style>
  <w:style w:type="paragraph" w:styleId="Heading6">
    <w:name w:val="heading 6"/>
    <w:basedOn w:val="HeadingBase"/>
    <w:next w:val="Normal"/>
    <w:link w:val="Heading6Char"/>
    <w:qFormat/>
    <w:rsid w:val="00EC6C67"/>
    <w:pPr>
      <w:spacing w:before="60"/>
      <w:outlineLvl w:val="5"/>
    </w:pPr>
    <w:rPr>
      <w:color w:val="918585"/>
      <w:sz w:val="20"/>
    </w:rPr>
  </w:style>
  <w:style w:type="paragraph" w:styleId="Heading7">
    <w:name w:val="heading 7"/>
    <w:basedOn w:val="Normal"/>
    <w:next w:val="Normal"/>
    <w:link w:val="Heading7Char"/>
    <w:qFormat/>
    <w:rsid w:val="00EC6C67"/>
    <w:pPr>
      <w:ind w:left="720"/>
      <w:outlineLvl w:val="6"/>
    </w:pPr>
    <w:rPr>
      <w:i/>
    </w:rPr>
  </w:style>
  <w:style w:type="paragraph" w:styleId="Heading8">
    <w:name w:val="heading 8"/>
    <w:basedOn w:val="Normal"/>
    <w:next w:val="Normal"/>
    <w:link w:val="Heading8Char"/>
    <w:qFormat/>
    <w:rsid w:val="00EC6C67"/>
    <w:pPr>
      <w:ind w:left="720"/>
      <w:outlineLvl w:val="7"/>
    </w:pPr>
    <w:rPr>
      <w:i/>
    </w:rPr>
  </w:style>
  <w:style w:type="paragraph" w:styleId="Heading9">
    <w:name w:val="heading 9"/>
    <w:basedOn w:val="Normal"/>
    <w:next w:val="Normal"/>
    <w:link w:val="Heading9Char"/>
    <w:qFormat/>
    <w:rsid w:val="00EC6C67"/>
    <w:pPr>
      <w:ind w:left="720"/>
      <w:outlineLvl w:val="8"/>
    </w:pPr>
    <w:rPr>
      <w:i/>
    </w:rPr>
  </w:style>
  <w:style w:type="character" w:default="1" w:styleId="DefaultParagraphFont">
    <w:name w:val="Default Paragraph Font"/>
    <w:uiPriority w:val="1"/>
    <w:unhideWhenUsed/>
    <w:rsid w:val="00EC6C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C67"/>
  </w:style>
  <w:style w:type="character" w:customStyle="1" w:styleId="Heading1Char">
    <w:name w:val="Heading 1 Char"/>
    <w:basedOn w:val="DefaultParagraphFont"/>
    <w:link w:val="Heading1"/>
    <w:rsid w:val="00EC6C67"/>
    <w:rPr>
      <w:rFonts w:ascii="Times New Roman" w:eastAsia="Times New Roman" w:hAnsi="Times New Roman" w:cs="Times New Roman"/>
      <w:b/>
      <w:sz w:val="32"/>
      <w:szCs w:val="20"/>
      <w:lang w:eastAsia="en-US"/>
    </w:rPr>
  </w:style>
  <w:style w:type="paragraph" w:styleId="BodyText">
    <w:name w:val="Body Text"/>
    <w:basedOn w:val="Normal"/>
    <w:link w:val="BodyTextChar"/>
    <w:rsid w:val="00EC6C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C67"/>
    <w:rPr>
      <w:rFonts w:ascii="Times New Roman" w:eastAsia="Times New Roman" w:hAnsi="Times New Roman" w:cs="Times New Roman"/>
      <w:sz w:val="24"/>
      <w:lang w:eastAsia="en-US"/>
    </w:rPr>
  </w:style>
  <w:style w:type="paragraph" w:styleId="ListBullet">
    <w:name w:val="List Bullet"/>
    <w:basedOn w:val="List"/>
    <w:rsid w:val="00EC6C67"/>
    <w:pPr>
      <w:numPr>
        <w:numId w:val="14"/>
      </w:numPr>
      <w:tabs>
        <w:tab w:val="clear" w:pos="340"/>
      </w:tabs>
      <w:spacing w:before="40" w:after="40"/>
    </w:pPr>
  </w:style>
  <w:style w:type="character" w:customStyle="1" w:styleId="SpecialBold">
    <w:name w:val="Special Bold"/>
    <w:basedOn w:val="DefaultParagraphFont"/>
    <w:rsid w:val="00EC6C67"/>
    <w:rPr>
      <w:b/>
      <w:spacing w:val="0"/>
    </w:rPr>
  </w:style>
  <w:style w:type="paragraph" w:styleId="ListBullet2">
    <w:name w:val="List Bullet 2"/>
    <w:basedOn w:val="List2"/>
    <w:rsid w:val="00EC6C67"/>
    <w:pPr>
      <w:numPr>
        <w:numId w:val="15"/>
      </w:numPr>
      <w:tabs>
        <w:tab w:val="clear" w:pos="680"/>
      </w:tabs>
    </w:pPr>
  </w:style>
  <w:style w:type="paragraph" w:customStyle="1" w:styleId="SuperHeading">
    <w:name w:val="SuperHeading"/>
    <w:basedOn w:val="Normal"/>
    <w:rsid w:val="00EC6C67"/>
    <w:pPr>
      <w:spacing w:before="240" w:after="120"/>
      <w:outlineLvl w:val="0"/>
    </w:pPr>
    <w:rPr>
      <w:rFonts w:ascii="Times New Roman" w:hAnsi="Times New Roman"/>
      <w:b/>
      <w:sz w:val="32"/>
    </w:rPr>
  </w:style>
  <w:style w:type="paragraph" w:customStyle="1" w:styleId="AllowPageBreak">
    <w:name w:val="AllowPageBreak"/>
    <w:rsid w:val="00EC6C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6C67"/>
    <w:pPr>
      <w:numPr>
        <w:numId w:val="3"/>
      </w:numPr>
      <w:tabs>
        <w:tab w:val="clear" w:pos="1021"/>
      </w:tabs>
      <w:ind w:left="1037" w:hanging="357"/>
    </w:pPr>
  </w:style>
  <w:style w:type="paragraph" w:styleId="ListBullet4">
    <w:name w:val="List Bullet 4"/>
    <w:basedOn w:val="List4"/>
    <w:rsid w:val="00EC6C6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6C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C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C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C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C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C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C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C67"/>
    <w:rPr>
      <w:rFonts w:ascii="Courier New" w:eastAsia="Times New Roman" w:hAnsi="Courier New" w:cs="Times New Roman"/>
      <w:i/>
      <w:szCs w:val="20"/>
      <w:lang w:eastAsia="en-US"/>
    </w:rPr>
  </w:style>
  <w:style w:type="paragraph" w:customStyle="1" w:styleId="HeadingBase">
    <w:name w:val="Heading Base"/>
    <w:rsid w:val="00EC6C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C67"/>
    <w:pPr>
      <w:tabs>
        <w:tab w:val="right" w:leader="dot" w:pos="9072"/>
      </w:tabs>
      <w:ind w:left="567"/>
    </w:pPr>
    <w:rPr>
      <w:szCs w:val="22"/>
    </w:rPr>
  </w:style>
  <w:style w:type="paragraph" w:customStyle="1" w:styleId="TOCBase">
    <w:name w:val="TOC Base"/>
    <w:rsid w:val="00EC6C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C67"/>
    <w:pPr>
      <w:tabs>
        <w:tab w:val="right" w:leader="dot" w:pos="9072"/>
      </w:tabs>
      <w:spacing w:before="40" w:after="40"/>
      <w:ind w:left="284"/>
    </w:pPr>
    <w:rPr>
      <w:rFonts w:ascii="Times New Roman" w:hAnsi="Times New Roman"/>
    </w:rPr>
  </w:style>
  <w:style w:type="paragraph" w:styleId="TOC1">
    <w:name w:val="toc 1"/>
    <w:basedOn w:val="TOCBase"/>
    <w:next w:val="Normal"/>
    <w:rsid w:val="00EC6C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C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C67"/>
    <w:rPr>
      <w:rFonts w:ascii="Times New Roman" w:eastAsia="Times New Roman" w:hAnsi="Times New Roman" w:cs="Times New Roman"/>
      <w:sz w:val="16"/>
      <w:lang w:eastAsia="en-US"/>
    </w:rPr>
  </w:style>
  <w:style w:type="paragraph" w:styleId="Title">
    <w:name w:val="Title"/>
    <w:basedOn w:val="HeadingBase"/>
    <w:link w:val="TitleChar"/>
    <w:qFormat/>
    <w:rsid w:val="00EC6C67"/>
    <w:pPr>
      <w:spacing w:before="5040"/>
      <w:jc w:val="center"/>
    </w:pPr>
    <w:rPr>
      <w:sz w:val="48"/>
      <w:szCs w:val="72"/>
      <w:lang w:val="en-US"/>
    </w:rPr>
  </w:style>
  <w:style w:type="character" w:customStyle="1" w:styleId="TitleChar">
    <w:name w:val="Title Char"/>
    <w:basedOn w:val="DefaultParagraphFont"/>
    <w:link w:val="Title"/>
    <w:rsid w:val="00EC6C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C67"/>
    <w:pPr>
      <w:tabs>
        <w:tab w:val="left" w:pos="3600"/>
        <w:tab w:val="left" w:pos="3958"/>
      </w:tabs>
    </w:pPr>
  </w:style>
  <w:style w:type="paragraph" w:styleId="List">
    <w:name w:val="List"/>
    <w:basedOn w:val="BodyText"/>
    <w:next w:val="BodyText"/>
    <w:rsid w:val="00EC6C67"/>
    <w:pPr>
      <w:tabs>
        <w:tab w:val="left" w:pos="340"/>
      </w:tabs>
      <w:spacing w:before="60" w:after="60"/>
      <w:ind w:left="340" w:hanging="340"/>
    </w:pPr>
  </w:style>
  <w:style w:type="paragraph" w:customStyle="1" w:styleId="Note">
    <w:name w:val="Note"/>
    <w:basedOn w:val="BodyText"/>
    <w:rsid w:val="00EC6C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C67"/>
    <w:pPr>
      <w:framePr w:wrap="auto" w:hAnchor="text" w:y="6049"/>
    </w:pPr>
    <w:rPr>
      <w:color w:val="000000"/>
      <w:sz w:val="40"/>
    </w:rPr>
  </w:style>
  <w:style w:type="paragraph" w:customStyle="1" w:styleId="TOCTitle">
    <w:name w:val="TOCTitle"/>
    <w:basedOn w:val="Heading1"/>
    <w:rsid w:val="00EC6C67"/>
    <w:pPr>
      <w:spacing w:after="240"/>
      <w:jc w:val="center"/>
      <w:outlineLvl w:val="9"/>
    </w:pPr>
    <w:rPr>
      <w:caps/>
    </w:rPr>
  </w:style>
  <w:style w:type="paragraph" w:customStyle="1" w:styleId="Version">
    <w:name w:val="Version"/>
    <w:rsid w:val="00EC6C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C67"/>
    <w:pPr>
      <w:keepNext w:val="0"/>
      <w:tabs>
        <w:tab w:val="right" w:pos="4176"/>
      </w:tabs>
      <w:ind w:left="198" w:hanging="198"/>
    </w:pPr>
    <w:rPr>
      <w:rFonts w:ascii="Garamond" w:hAnsi="Garamond"/>
    </w:rPr>
  </w:style>
  <w:style w:type="paragraph" w:styleId="IndexHeading">
    <w:name w:val="index heading"/>
    <w:basedOn w:val="Normal"/>
    <w:next w:val="Index1"/>
    <w:semiHidden/>
    <w:rsid w:val="00EC6C67"/>
    <w:pPr>
      <w:spacing w:before="120" w:after="120"/>
    </w:pPr>
    <w:rPr>
      <w:rFonts w:ascii="Arial" w:hAnsi="Arial"/>
      <w:b/>
      <w:color w:val="918585"/>
      <w:sz w:val="24"/>
    </w:rPr>
  </w:style>
  <w:style w:type="paragraph" w:styleId="Header">
    <w:name w:val="header"/>
    <w:basedOn w:val="Normal"/>
    <w:link w:val="HeaderChar"/>
    <w:rsid w:val="00EC6C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C67"/>
    <w:rPr>
      <w:rFonts w:ascii="Times New Roman" w:eastAsia="Times New Roman" w:hAnsi="Times New Roman" w:cs="Times New Roman"/>
      <w:sz w:val="16"/>
      <w:szCs w:val="20"/>
      <w:lang w:val="en-GB" w:eastAsia="en-US"/>
    </w:rPr>
  </w:style>
  <w:style w:type="paragraph" w:customStyle="1" w:styleId="Chapter">
    <w:name w:val="Chapter"/>
    <w:basedOn w:val="Normal"/>
    <w:rsid w:val="00EC6C67"/>
    <w:pPr>
      <w:spacing w:before="240"/>
    </w:pPr>
    <w:rPr>
      <w:rFonts w:ascii="Times New Roman" w:hAnsi="Times New Roman"/>
      <w:smallCaps/>
      <w:spacing w:val="80"/>
      <w:sz w:val="28"/>
    </w:rPr>
  </w:style>
  <w:style w:type="paragraph" w:customStyle="1" w:styleId="InChapter">
    <w:name w:val="InChapter"/>
    <w:basedOn w:val="Heading3"/>
    <w:rsid w:val="00EC6C67"/>
    <w:pPr>
      <w:spacing w:after="240"/>
      <w:outlineLvl w:val="9"/>
    </w:pPr>
    <w:rPr>
      <w:noProof/>
    </w:rPr>
  </w:style>
  <w:style w:type="paragraph" w:styleId="Index2">
    <w:name w:val="index 2"/>
    <w:basedOn w:val="Normal"/>
    <w:next w:val="Normal"/>
    <w:semiHidden/>
    <w:rsid w:val="00EC6C67"/>
    <w:pPr>
      <w:tabs>
        <w:tab w:val="right" w:pos="4176"/>
      </w:tabs>
      <w:ind w:left="568" w:hanging="284"/>
    </w:pPr>
    <w:rPr>
      <w:rFonts w:ascii="Garamond" w:hAnsi="Garamond"/>
    </w:rPr>
  </w:style>
  <w:style w:type="paragraph" w:customStyle="1" w:styleId="Byline">
    <w:name w:val="Byline"/>
    <w:rsid w:val="00EC6C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C67"/>
    <w:pPr>
      <w:tabs>
        <w:tab w:val="clear" w:pos="3600"/>
        <w:tab w:val="clear" w:pos="3958"/>
      </w:tabs>
      <w:jc w:val="right"/>
    </w:pPr>
  </w:style>
  <w:style w:type="character" w:styleId="Emphasis">
    <w:name w:val="Emphasis"/>
    <w:basedOn w:val="DefaultParagraphFont"/>
    <w:qFormat/>
    <w:rsid w:val="00EC6C67"/>
    <w:rPr>
      <w:i/>
    </w:rPr>
  </w:style>
  <w:style w:type="paragraph" w:styleId="Caption">
    <w:name w:val="caption"/>
    <w:basedOn w:val="BodyText"/>
    <w:next w:val="Normal"/>
    <w:qFormat/>
    <w:rsid w:val="00EC6C67"/>
    <w:pPr>
      <w:framePr w:w="2268" w:hSpace="181" w:vSpace="181" w:wrap="around" w:vAnchor="text" w:hAnchor="page" w:x="1135" w:y="285" w:anchorLock="1"/>
    </w:pPr>
    <w:rPr>
      <w:i/>
    </w:rPr>
  </w:style>
  <w:style w:type="paragraph" w:customStyle="1" w:styleId="MiniTOCTitle">
    <w:name w:val="MiniTOCTitle"/>
    <w:basedOn w:val="Heading4"/>
    <w:rsid w:val="00EC6C67"/>
    <w:pPr>
      <w:spacing w:before="240"/>
      <w:outlineLvl w:val="9"/>
    </w:pPr>
    <w:rPr>
      <w:noProof/>
      <w:sz w:val="24"/>
    </w:rPr>
  </w:style>
  <w:style w:type="paragraph" w:customStyle="1" w:styleId="MiniTOCItem">
    <w:name w:val="MiniTOCItem"/>
    <w:basedOn w:val="ListBullet"/>
    <w:rsid w:val="00EC6C67"/>
    <w:pPr>
      <w:numPr>
        <w:numId w:val="0"/>
      </w:numPr>
      <w:tabs>
        <w:tab w:val="right" w:leader="dot" w:pos="6521"/>
      </w:tabs>
      <w:spacing w:before="0" w:after="0"/>
    </w:pPr>
  </w:style>
  <w:style w:type="paragraph" w:customStyle="1" w:styleId="TOFTitle">
    <w:name w:val="TOFTitle"/>
    <w:basedOn w:val="TOCTitle"/>
    <w:rsid w:val="00EC6C67"/>
  </w:style>
  <w:style w:type="paragraph" w:styleId="TableofFigures">
    <w:name w:val="table of figures"/>
    <w:basedOn w:val="Normal"/>
    <w:next w:val="Normal"/>
    <w:semiHidden/>
    <w:rsid w:val="00EC6C67"/>
    <w:pPr>
      <w:tabs>
        <w:tab w:val="right" w:leader="dot" w:pos="9072"/>
      </w:tabs>
      <w:ind w:left="970" w:hanging="403"/>
    </w:pPr>
    <w:rPr>
      <w:rFonts w:ascii="Times New Roman" w:hAnsi="Times New Roman"/>
      <w:b/>
    </w:rPr>
  </w:style>
  <w:style w:type="paragraph" w:styleId="ListNumber">
    <w:name w:val="List Number"/>
    <w:basedOn w:val="List"/>
    <w:rsid w:val="00EC6C67"/>
    <w:pPr>
      <w:numPr>
        <w:numId w:val="17"/>
      </w:numPr>
      <w:tabs>
        <w:tab w:val="clear" w:pos="340"/>
      </w:tabs>
    </w:pPr>
  </w:style>
  <w:style w:type="character" w:customStyle="1" w:styleId="WingdingSymbols">
    <w:name w:val="Wingding Symbols"/>
    <w:rsid w:val="00EC6C67"/>
    <w:rPr>
      <w:rFonts w:ascii="Wingdings" w:hAnsi="Wingdings"/>
    </w:rPr>
  </w:style>
  <w:style w:type="paragraph" w:customStyle="1" w:styleId="TableHeading">
    <w:name w:val="Table Heading"/>
    <w:basedOn w:val="HeadingBase"/>
    <w:rsid w:val="00EC6C67"/>
    <w:pPr>
      <w:keepLines/>
      <w:pBdr>
        <w:bottom w:val="single" w:sz="6" w:space="1" w:color="918585"/>
      </w:pBdr>
      <w:spacing w:before="240"/>
    </w:pPr>
  </w:style>
  <w:style w:type="character" w:customStyle="1" w:styleId="HotSpot">
    <w:name w:val="HotSpot"/>
    <w:rsid w:val="00EC6C67"/>
    <w:rPr>
      <w:color w:val="0033CC"/>
      <w:u w:val="none"/>
    </w:rPr>
  </w:style>
  <w:style w:type="paragraph" w:customStyle="1" w:styleId="BodyTextRight">
    <w:name w:val="Body Text Right"/>
    <w:basedOn w:val="BodyText"/>
    <w:rsid w:val="00EC6C67"/>
    <w:pPr>
      <w:spacing w:before="0" w:after="0"/>
      <w:jc w:val="right"/>
    </w:pPr>
  </w:style>
  <w:style w:type="paragraph" w:styleId="Index3">
    <w:name w:val="index 3"/>
    <w:basedOn w:val="ListNumber2"/>
    <w:next w:val="Normal"/>
    <w:semiHidden/>
    <w:rsid w:val="00EC6C67"/>
    <w:pPr>
      <w:numPr>
        <w:numId w:val="0"/>
      </w:numPr>
      <w:tabs>
        <w:tab w:val="right" w:leader="dot" w:pos="4176"/>
      </w:tabs>
    </w:pPr>
  </w:style>
  <w:style w:type="paragraph" w:styleId="ListNumber2">
    <w:name w:val="List Number 2"/>
    <w:basedOn w:val="List2"/>
    <w:rsid w:val="00EC6C67"/>
    <w:pPr>
      <w:numPr>
        <w:numId w:val="12"/>
      </w:numPr>
      <w:tabs>
        <w:tab w:val="clear" w:pos="1060"/>
      </w:tabs>
    </w:pPr>
  </w:style>
  <w:style w:type="paragraph" w:customStyle="1" w:styleId="MarginNote">
    <w:name w:val="Margin Note"/>
    <w:basedOn w:val="BodyText"/>
    <w:rsid w:val="00EC6C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C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C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C67"/>
    <w:rPr>
      <w:sz w:val="32"/>
    </w:rPr>
  </w:style>
  <w:style w:type="paragraph" w:customStyle="1" w:styleId="HeadingProcedure">
    <w:name w:val="Heading Procedure"/>
    <w:basedOn w:val="HeadingBase"/>
    <w:next w:val="Normal"/>
    <w:rsid w:val="00EC6C67"/>
    <w:pPr>
      <w:tabs>
        <w:tab w:val="left" w:pos="0"/>
      </w:tabs>
      <w:spacing w:before="120" w:after="60"/>
    </w:pPr>
    <w:rPr>
      <w:i/>
      <w:color w:val="918585"/>
      <w:sz w:val="22"/>
    </w:rPr>
  </w:style>
  <w:style w:type="paragraph" w:customStyle="1" w:styleId="TableBodyText">
    <w:name w:val="Table Body Text"/>
    <w:basedOn w:val="BodyText"/>
    <w:rsid w:val="00EC6C67"/>
    <w:pPr>
      <w:spacing w:before="60" w:after="60"/>
    </w:pPr>
  </w:style>
  <w:style w:type="paragraph" w:styleId="ListContinue">
    <w:name w:val="List Continue"/>
    <w:basedOn w:val="List"/>
    <w:rsid w:val="00EC6C67"/>
    <w:pPr>
      <w:ind w:firstLine="0"/>
    </w:pPr>
  </w:style>
  <w:style w:type="paragraph" w:customStyle="1" w:styleId="ListNote">
    <w:name w:val="List Note"/>
    <w:basedOn w:val="List"/>
    <w:rsid w:val="00EC6C67"/>
    <w:pPr>
      <w:pBdr>
        <w:top w:val="single" w:sz="6" w:space="2" w:color="918585"/>
        <w:bottom w:val="single" w:sz="6" w:space="2" w:color="918585"/>
      </w:pBdr>
      <w:tabs>
        <w:tab w:val="left" w:pos="1021"/>
      </w:tabs>
      <w:ind w:firstLine="0"/>
    </w:pPr>
  </w:style>
  <w:style w:type="paragraph" w:customStyle="1" w:styleId="Warning">
    <w:name w:val="Warning"/>
    <w:basedOn w:val="BodyText"/>
    <w:rsid w:val="00EC6C67"/>
    <w:pPr>
      <w:shd w:val="clear" w:color="auto" w:fill="D9D9D9"/>
      <w:tabs>
        <w:tab w:val="left" w:pos="992"/>
      </w:tabs>
      <w:ind w:left="119" w:right="119"/>
    </w:pPr>
    <w:rPr>
      <w:sz w:val="20"/>
    </w:rPr>
  </w:style>
  <w:style w:type="paragraph" w:customStyle="1" w:styleId="MarginIcons">
    <w:name w:val="Margin Icons"/>
    <w:basedOn w:val="BodyText"/>
    <w:rsid w:val="00EC6C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C67"/>
    <w:rPr>
      <w:rFonts w:ascii="Courier New" w:hAnsi="Courier New"/>
    </w:rPr>
  </w:style>
  <w:style w:type="paragraph" w:customStyle="1" w:styleId="NoteBullet">
    <w:name w:val="Note Bullet"/>
    <w:basedOn w:val="Note"/>
    <w:rsid w:val="00EC6C67"/>
    <w:pPr>
      <w:tabs>
        <w:tab w:val="clear" w:pos="680"/>
      </w:tabs>
      <w:spacing w:before="60" w:after="60"/>
    </w:pPr>
  </w:style>
  <w:style w:type="paragraph" w:customStyle="1" w:styleId="SubHeading2">
    <w:name w:val="SubHeading2"/>
    <w:basedOn w:val="HeadingBase"/>
    <w:rsid w:val="00EC6C67"/>
    <w:pPr>
      <w:spacing w:before="240" w:after="60"/>
    </w:pPr>
    <w:rPr>
      <w:sz w:val="20"/>
    </w:rPr>
  </w:style>
  <w:style w:type="paragraph" w:customStyle="1" w:styleId="SubHeading1">
    <w:name w:val="SubHeading1"/>
    <w:basedOn w:val="HeadingBase"/>
    <w:rsid w:val="00EC6C67"/>
    <w:pPr>
      <w:spacing w:before="240" w:after="60"/>
    </w:pPr>
    <w:rPr>
      <w:color w:val="918585"/>
      <w:sz w:val="22"/>
    </w:rPr>
  </w:style>
  <w:style w:type="paragraph" w:customStyle="1" w:styleId="SideHeading">
    <w:name w:val="Side Heading"/>
    <w:basedOn w:val="HeadingBase"/>
    <w:rsid w:val="00EC6C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C67"/>
    <w:pPr>
      <w:numPr>
        <w:numId w:val="13"/>
      </w:numPr>
    </w:pPr>
  </w:style>
  <w:style w:type="paragraph" w:styleId="PlainText">
    <w:name w:val="Plain Text"/>
    <w:basedOn w:val="Normal"/>
    <w:link w:val="PlainTextChar"/>
    <w:rsid w:val="00EC6C67"/>
    <w:rPr>
      <w:sz w:val="20"/>
    </w:rPr>
  </w:style>
  <w:style w:type="character" w:customStyle="1" w:styleId="PlainTextChar">
    <w:name w:val="Plain Text Char"/>
    <w:basedOn w:val="DefaultParagraphFont"/>
    <w:link w:val="PlainText"/>
    <w:rsid w:val="00EC6C67"/>
    <w:rPr>
      <w:rFonts w:ascii="Courier New" w:eastAsia="Times New Roman" w:hAnsi="Courier New" w:cs="Times New Roman"/>
      <w:sz w:val="20"/>
      <w:szCs w:val="20"/>
      <w:lang w:eastAsia="en-US"/>
    </w:rPr>
  </w:style>
  <w:style w:type="character" w:customStyle="1" w:styleId="MenuOption">
    <w:name w:val="Menu Option"/>
    <w:basedOn w:val="DefaultParagraphFont"/>
    <w:rsid w:val="00EC6C67"/>
    <w:rPr>
      <w:b/>
      <w:smallCaps/>
    </w:rPr>
  </w:style>
  <w:style w:type="paragraph" w:customStyle="1" w:styleId="TableListNumber">
    <w:name w:val="Table List Number"/>
    <w:basedOn w:val="ListNumber"/>
    <w:rsid w:val="00EC6C67"/>
    <w:pPr>
      <w:numPr>
        <w:numId w:val="0"/>
      </w:numPr>
    </w:pPr>
  </w:style>
  <w:style w:type="paragraph" w:styleId="TOC4">
    <w:name w:val="toc 4"/>
    <w:basedOn w:val="TOCBase"/>
    <w:next w:val="Normal"/>
    <w:semiHidden/>
    <w:rsid w:val="00EC6C67"/>
    <w:pPr>
      <w:tabs>
        <w:tab w:val="right" w:leader="dot" w:pos="9071"/>
      </w:tabs>
      <w:ind w:left="1701"/>
    </w:pPr>
  </w:style>
  <w:style w:type="paragraph" w:customStyle="1" w:styleId="ListAlpha">
    <w:name w:val="List Alpha"/>
    <w:basedOn w:val="List"/>
    <w:rsid w:val="00EC6C67"/>
    <w:pPr>
      <w:numPr>
        <w:numId w:val="11"/>
      </w:numPr>
    </w:pPr>
  </w:style>
  <w:style w:type="paragraph" w:customStyle="1" w:styleId="ListAlpha2">
    <w:name w:val="List Alpha 2"/>
    <w:basedOn w:val="List2"/>
    <w:rsid w:val="00EC6C67"/>
    <w:pPr>
      <w:numPr>
        <w:numId w:val="10"/>
      </w:numPr>
    </w:pPr>
  </w:style>
  <w:style w:type="paragraph" w:styleId="List2">
    <w:name w:val="List 2"/>
    <w:basedOn w:val="BodyText"/>
    <w:rsid w:val="00EC6C67"/>
    <w:pPr>
      <w:tabs>
        <w:tab w:val="left" w:pos="680"/>
      </w:tabs>
      <w:spacing w:before="60" w:after="60"/>
      <w:ind w:left="680" w:hanging="340"/>
    </w:pPr>
  </w:style>
  <w:style w:type="paragraph" w:styleId="List3">
    <w:name w:val="List 3"/>
    <w:basedOn w:val="BodyText"/>
    <w:rsid w:val="00EC6C67"/>
    <w:pPr>
      <w:tabs>
        <w:tab w:val="left" w:pos="1021"/>
      </w:tabs>
      <w:spacing w:before="60" w:after="60"/>
      <w:ind w:left="1020" w:hanging="340"/>
    </w:pPr>
  </w:style>
  <w:style w:type="paragraph" w:styleId="List4">
    <w:name w:val="List 4"/>
    <w:basedOn w:val="BodyText"/>
    <w:rsid w:val="00EC6C67"/>
    <w:pPr>
      <w:tabs>
        <w:tab w:val="left" w:pos="1361"/>
      </w:tabs>
      <w:spacing w:before="60" w:after="60"/>
      <w:ind w:left="1361" w:hanging="340"/>
    </w:pPr>
  </w:style>
  <w:style w:type="paragraph" w:styleId="List5">
    <w:name w:val="List 5"/>
    <w:basedOn w:val="BodyText"/>
    <w:rsid w:val="00EC6C67"/>
    <w:pPr>
      <w:tabs>
        <w:tab w:val="left" w:pos="1701"/>
      </w:tabs>
      <w:spacing w:before="60" w:after="60"/>
      <w:ind w:left="1701" w:hanging="340"/>
    </w:pPr>
  </w:style>
  <w:style w:type="paragraph" w:styleId="ListBullet5">
    <w:name w:val="List Bullet 5"/>
    <w:basedOn w:val="List5"/>
    <w:rsid w:val="00EC6C67"/>
    <w:pPr>
      <w:numPr>
        <w:numId w:val="6"/>
      </w:numPr>
    </w:pPr>
  </w:style>
  <w:style w:type="paragraph" w:styleId="ListContinue2">
    <w:name w:val="List Continue 2"/>
    <w:basedOn w:val="List2"/>
    <w:rsid w:val="00EC6C67"/>
    <w:pPr>
      <w:ind w:firstLine="0"/>
    </w:pPr>
  </w:style>
  <w:style w:type="paragraph" w:styleId="ListContinue3">
    <w:name w:val="List Continue 3"/>
    <w:basedOn w:val="List3"/>
    <w:rsid w:val="00EC6C67"/>
    <w:pPr>
      <w:ind w:left="1021" w:firstLine="0"/>
    </w:pPr>
  </w:style>
  <w:style w:type="paragraph" w:styleId="ListContinue4">
    <w:name w:val="List Continue 4"/>
    <w:basedOn w:val="List4"/>
    <w:rsid w:val="00EC6C67"/>
    <w:pPr>
      <w:ind w:firstLine="0"/>
    </w:pPr>
  </w:style>
  <w:style w:type="paragraph" w:styleId="ListContinue5">
    <w:name w:val="List Continue 5"/>
    <w:basedOn w:val="List5"/>
    <w:rsid w:val="00EC6C67"/>
    <w:pPr>
      <w:ind w:firstLine="0"/>
    </w:pPr>
  </w:style>
  <w:style w:type="paragraph" w:styleId="ListNumber3">
    <w:name w:val="List Number 3"/>
    <w:basedOn w:val="List3"/>
    <w:rsid w:val="00EC6C67"/>
    <w:pPr>
      <w:numPr>
        <w:numId w:val="7"/>
      </w:numPr>
    </w:pPr>
  </w:style>
  <w:style w:type="paragraph" w:styleId="ListNumber4">
    <w:name w:val="List Number 4"/>
    <w:basedOn w:val="List4"/>
    <w:rsid w:val="00EC6C67"/>
    <w:pPr>
      <w:numPr>
        <w:numId w:val="8"/>
      </w:numPr>
    </w:pPr>
  </w:style>
  <w:style w:type="paragraph" w:styleId="ListNumber5">
    <w:name w:val="List Number 5"/>
    <w:basedOn w:val="List5"/>
    <w:rsid w:val="00EC6C67"/>
    <w:pPr>
      <w:numPr>
        <w:numId w:val="9"/>
      </w:numPr>
    </w:pPr>
  </w:style>
  <w:style w:type="paragraph" w:styleId="BlockText">
    <w:name w:val="Block Text"/>
    <w:basedOn w:val="Normal"/>
    <w:rsid w:val="00EC6C67"/>
    <w:pPr>
      <w:spacing w:after="120"/>
      <w:ind w:left="1440" w:right="1440"/>
    </w:pPr>
  </w:style>
  <w:style w:type="character" w:customStyle="1" w:styleId="Subscript">
    <w:name w:val="Subscript"/>
    <w:basedOn w:val="DefaultParagraphFont"/>
    <w:rsid w:val="00EC6C67"/>
    <w:rPr>
      <w:sz w:val="16"/>
      <w:vertAlign w:val="subscript"/>
    </w:rPr>
  </w:style>
  <w:style w:type="character" w:customStyle="1" w:styleId="Superscript">
    <w:name w:val="Superscript"/>
    <w:basedOn w:val="DefaultParagraphFont"/>
    <w:rsid w:val="00EC6C67"/>
    <w:rPr>
      <w:sz w:val="16"/>
      <w:vertAlign w:val="superscript"/>
    </w:rPr>
  </w:style>
  <w:style w:type="character" w:customStyle="1" w:styleId="Symbols">
    <w:name w:val="Symbols"/>
    <w:basedOn w:val="DefaultParagraphFont"/>
    <w:rsid w:val="00EC6C67"/>
    <w:rPr>
      <w:rFonts w:ascii="Symbol" w:hAnsi="Symbol"/>
    </w:rPr>
  </w:style>
  <w:style w:type="character" w:customStyle="1" w:styleId="MenuOptions">
    <w:name w:val="Menu Options"/>
    <w:basedOn w:val="DefaultParagraphFont"/>
    <w:rsid w:val="00EC6C67"/>
    <w:rPr>
      <w:rFonts w:ascii="Arial Narrow" w:hAnsi="Arial Narrow"/>
      <w:smallCaps/>
    </w:rPr>
  </w:style>
  <w:style w:type="character" w:customStyle="1" w:styleId="Buttons">
    <w:name w:val="Buttons"/>
    <w:basedOn w:val="DefaultParagraphFont"/>
    <w:rsid w:val="00EC6C67"/>
    <w:rPr>
      <w:b/>
    </w:rPr>
  </w:style>
  <w:style w:type="character" w:customStyle="1" w:styleId="Underlined">
    <w:name w:val="Underlined"/>
    <w:basedOn w:val="DefaultParagraphFont"/>
    <w:rsid w:val="00EC6C67"/>
    <w:rPr>
      <w:u w:val="single"/>
    </w:rPr>
  </w:style>
  <w:style w:type="paragraph" w:customStyle="1" w:styleId="TableBodyTextRight">
    <w:name w:val="Table Body Text Right"/>
    <w:basedOn w:val="TableBodyText"/>
    <w:rsid w:val="00EC6C67"/>
    <w:pPr>
      <w:widowControl w:val="0"/>
      <w:autoSpaceDE w:val="0"/>
      <w:autoSpaceDN w:val="0"/>
      <w:adjustRightInd w:val="0"/>
      <w:jc w:val="right"/>
    </w:pPr>
    <w:rPr>
      <w:rFonts w:cs="Arial"/>
      <w:szCs w:val="18"/>
    </w:rPr>
  </w:style>
  <w:style w:type="paragraph" w:customStyle="1" w:styleId="CopyrightText">
    <w:name w:val="Copyright Text"/>
    <w:basedOn w:val="BodyText"/>
    <w:rsid w:val="00EC6C67"/>
    <w:rPr>
      <w:sz w:val="18"/>
    </w:rPr>
  </w:style>
  <w:style w:type="paragraph" w:customStyle="1" w:styleId="BodySmallRight">
    <w:name w:val="Body Small Right"/>
    <w:basedOn w:val="BodyTextRight"/>
    <w:rsid w:val="00EC6C67"/>
    <w:rPr>
      <w:sz w:val="18"/>
      <w:szCs w:val="18"/>
    </w:rPr>
  </w:style>
  <w:style w:type="paragraph" w:customStyle="1" w:styleId="MarginEdition">
    <w:name w:val="Margin Edition"/>
    <w:basedOn w:val="MarginNote"/>
    <w:rsid w:val="00EC6C67"/>
    <w:pPr>
      <w:spacing w:before="0" w:after="0"/>
    </w:pPr>
    <w:rPr>
      <w:rFonts w:ascii="Times New Roman" w:hAnsi="Times New Roman"/>
      <w:color w:val="999999"/>
    </w:rPr>
  </w:style>
  <w:style w:type="paragraph" w:customStyle="1" w:styleId="Spacer">
    <w:name w:val="Spacer"/>
    <w:basedOn w:val="Normal"/>
    <w:rsid w:val="00EC6C67"/>
    <w:rPr>
      <w:sz w:val="2"/>
      <w:szCs w:val="2"/>
    </w:rPr>
  </w:style>
  <w:style w:type="character" w:customStyle="1" w:styleId="Small">
    <w:name w:val="Small"/>
    <w:basedOn w:val="DefaultParagraphFont"/>
    <w:rsid w:val="00EC6C67"/>
    <w:rPr>
      <w:sz w:val="16"/>
    </w:rPr>
  </w:style>
  <w:style w:type="paragraph" w:customStyle="1" w:styleId="WideTable">
    <w:name w:val="Wide Table"/>
    <w:basedOn w:val="Normal"/>
    <w:rsid w:val="00EC6C67"/>
    <w:pPr>
      <w:ind w:left="-1418"/>
    </w:pPr>
    <w:rPr>
      <w:sz w:val="2"/>
      <w:szCs w:val="2"/>
    </w:rPr>
  </w:style>
  <w:style w:type="character" w:styleId="PageNumber">
    <w:name w:val="page number"/>
    <w:basedOn w:val="DefaultParagraphFont"/>
    <w:rsid w:val="00EC6C67"/>
  </w:style>
  <w:style w:type="paragraph" w:styleId="Quote">
    <w:name w:val="Quote"/>
    <w:basedOn w:val="Heading1"/>
    <w:link w:val="QuoteChar"/>
    <w:qFormat/>
    <w:rsid w:val="00EC6C67"/>
    <w:rPr>
      <w:b w:val="0"/>
      <w:sz w:val="72"/>
      <w:szCs w:val="72"/>
      <w:lang w:val="en-NZ"/>
    </w:rPr>
  </w:style>
  <w:style w:type="character" w:customStyle="1" w:styleId="QuoteChar">
    <w:name w:val="Quote Char"/>
    <w:basedOn w:val="DefaultParagraphFont"/>
    <w:link w:val="Quote"/>
    <w:rsid w:val="00EC6C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C67"/>
    <w:pPr>
      <w:pageBreakBefore/>
    </w:pPr>
  </w:style>
  <w:style w:type="paragraph" w:customStyle="1" w:styleId="Border">
    <w:name w:val="Border"/>
    <w:basedOn w:val="Normal"/>
    <w:qFormat/>
    <w:rsid w:val="00EC6C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C67"/>
    <w:rPr>
      <w:b/>
      <w:bCs/>
      <w:i/>
      <w:iCs/>
      <w:color w:val="auto"/>
    </w:rPr>
  </w:style>
  <w:style w:type="paragraph" w:styleId="IntenseQuote">
    <w:name w:val="Intense Quote"/>
    <w:basedOn w:val="Normal"/>
    <w:next w:val="Normal"/>
    <w:link w:val="IntenseQuoteChar"/>
    <w:uiPriority w:val="30"/>
    <w:qFormat/>
    <w:rsid w:val="00EC6C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C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C67"/>
    <w:rPr>
      <w:smallCaps/>
      <w:color w:val="auto"/>
      <w:u w:val="single"/>
    </w:rPr>
  </w:style>
  <w:style w:type="character" w:styleId="IntenseReference">
    <w:name w:val="Intense Reference"/>
    <w:basedOn w:val="DefaultParagraphFont"/>
    <w:uiPriority w:val="32"/>
    <w:qFormat/>
    <w:rsid w:val="00EC6C67"/>
    <w:rPr>
      <w:b/>
      <w:bCs/>
      <w:smallCaps/>
      <w:color w:val="auto"/>
      <w:spacing w:val="5"/>
      <w:u w:val="single"/>
    </w:rPr>
  </w:style>
  <w:style w:type="paragraph" w:customStyle="1" w:styleId="2ColumnHeading">
    <w:name w:val="2Column Heading"/>
    <w:basedOn w:val="BodyText"/>
    <w:qFormat/>
    <w:rsid w:val="00EC6C67"/>
    <w:pPr>
      <w:spacing w:after="60"/>
      <w:ind w:left="-2268"/>
    </w:pPr>
    <w:rPr>
      <w:b/>
    </w:rPr>
  </w:style>
  <w:style w:type="paragraph" w:customStyle="1" w:styleId="Heading1TOC">
    <w:name w:val="Heading1 TOC"/>
    <w:basedOn w:val="Normal"/>
    <w:qFormat/>
    <w:rsid w:val="00EC6C67"/>
    <w:pPr>
      <w:spacing w:before="240" w:after="120"/>
    </w:pPr>
    <w:rPr>
      <w:rFonts w:ascii="Times New Roman" w:hAnsi="Times New Roman"/>
      <w:b/>
      <w:sz w:val="32"/>
    </w:rPr>
  </w:style>
  <w:style w:type="paragraph" w:customStyle="1" w:styleId="Heading2TOC">
    <w:name w:val="Heading2 TOC"/>
    <w:basedOn w:val="Normal"/>
    <w:qFormat/>
    <w:rsid w:val="00EC6C67"/>
    <w:pPr>
      <w:spacing w:before="240" w:after="60"/>
    </w:pPr>
    <w:rPr>
      <w:rFonts w:ascii="Times New Roman" w:hAnsi="Times New Roman"/>
      <w:b/>
      <w:sz w:val="28"/>
    </w:rPr>
  </w:style>
  <w:style w:type="character" w:customStyle="1" w:styleId="Underline">
    <w:name w:val="Underline"/>
    <w:basedOn w:val="DefaultParagraphFont"/>
    <w:qFormat/>
    <w:rsid w:val="00EC6C67"/>
    <w:rPr>
      <w:u w:val="single"/>
    </w:rPr>
  </w:style>
  <w:style w:type="character" w:customStyle="1" w:styleId="BoldandItalics">
    <w:name w:val="Bold and Italics"/>
    <w:qFormat/>
    <w:rsid w:val="00EC6C67"/>
    <w:rPr>
      <w:b/>
      <w:i/>
      <w:u w:val="none"/>
    </w:rPr>
  </w:style>
  <w:style w:type="paragraph" w:styleId="BalloonText">
    <w:name w:val="Balloon Text"/>
    <w:basedOn w:val="Normal"/>
    <w:link w:val="BalloonTextChar"/>
    <w:rsid w:val="00EC6C67"/>
    <w:rPr>
      <w:rFonts w:ascii="Tahoma" w:hAnsi="Tahoma" w:cs="Tahoma"/>
      <w:sz w:val="16"/>
      <w:szCs w:val="16"/>
    </w:rPr>
  </w:style>
  <w:style w:type="character" w:customStyle="1" w:styleId="BalloonTextChar">
    <w:name w:val="Balloon Text Char"/>
    <w:basedOn w:val="DefaultParagraphFont"/>
    <w:link w:val="BalloonText"/>
    <w:rsid w:val="00EC6C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C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C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C67"/>
    <w:rPr>
      <w:b/>
      <w:color w:val="660033"/>
      <w:spacing w:val="0"/>
    </w:rPr>
  </w:style>
  <w:style w:type="paragraph" w:customStyle="1" w:styleId="Nameditemlist">
    <w:name w:val="Named item list"/>
    <w:basedOn w:val="BodyText"/>
    <w:qFormat/>
    <w:rsid w:val="00EC6C67"/>
    <w:pPr>
      <w:tabs>
        <w:tab w:val="left" w:pos="2835"/>
      </w:tabs>
      <w:ind w:left="2835" w:hanging="2835"/>
    </w:pPr>
  </w:style>
  <w:style w:type="paragraph" w:customStyle="1" w:styleId="BodyTextnopadding">
    <w:name w:val="Body Text no padding"/>
    <w:basedOn w:val="BodyText"/>
    <w:qFormat/>
    <w:rsid w:val="00EC6C67"/>
    <w:pPr>
      <w:spacing w:before="0" w:after="0"/>
    </w:pPr>
  </w:style>
  <w:style w:type="paragraph" w:customStyle="1" w:styleId="BodyTextBold">
    <w:name w:val="Body Text Bold"/>
    <w:basedOn w:val="BodyText"/>
    <w:qFormat/>
    <w:rsid w:val="00EC6C67"/>
    <w:rPr>
      <w:b/>
    </w:rPr>
  </w:style>
  <w:style w:type="character" w:styleId="Hyperlink">
    <w:name w:val="Hyperlink"/>
    <w:basedOn w:val="DefaultParagraphFont"/>
    <w:uiPriority w:val="99"/>
    <w:unhideWhenUsed/>
    <w:rsid w:val="001C22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1495</Words>
  <Characters>10181</Characters>
  <Application>Microsoft Office Word</Application>
  <DocSecurity>0</DocSecurity>
  <Lines>339</Lines>
  <Paragraphs>208</Paragraphs>
  <ScaleCrop>false</ScaleCrop>
  <Company>Author-it Software Corporation Ltd.</Company>
  <LinksUpToDate>false</LinksUpToDate>
  <CharactersWithSpaces>11468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UEERA0012 Commission complex refrigeration/air conditioning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