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6C0" w:rsidP="00C07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UEERA0007 Apply safety awareness and legal requirements for flammable refrigerants</w:t>
      </w:r>
      <w:r>
        <w:fldChar w:fldCharType="end"/>
      </w:r>
    </w:p>
    <w:p w:rsidR="00C076C0" w:rsidP="00C076C0">
      <w:pPr>
        <w:pStyle w:val="Version"/>
        <w:sectPr w:rsidSect="00D32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5D9" w:rsidP="00D325D9">
      <w:pPr>
        <w:pStyle w:val="SuperHeading"/>
      </w:pPr>
      <w:r w:rsidRPr="00D325D9">
        <w:t>UEERA0007 Apply safety awareness and legal requirements for flammable refrigerants</w:t>
      </w:r>
    </w:p>
    <w:p w:rsidR="00000000" w:rsidRPr="00D325D9" w:rsidP="00D325D9">
      <w:pPr>
        <w:pStyle w:val="Heading1"/>
      </w:pPr>
      <w:bookmarkStart w:id="1" w:name="O_1083209"/>
      <w:bookmarkEnd w:id="1"/>
      <w:r w:rsidRPr="00D325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Release 1. This is the first release of this unit of competency in the UEE Electrotechnology Training Package.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2" w:name="O_1083210"/>
      <w:bookmarkEnd w:id="2"/>
      <w:r w:rsidRPr="00D325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This unit involves the skills and knowledge required to apply safety awareness and legislative requirements for Class A2, A2L and A3 flammable refrigerants.</w:t>
            </w:r>
          </w:p>
          <w:p w:rsidR="00000000" w:rsidRPr="00D325D9" w:rsidP="00D325D9">
            <w:pPr>
              <w:pStyle w:val="BodyText"/>
            </w:pPr>
            <w:r w:rsidRPr="00D325D9">
              <w:t>It includes applying safety and relevant legislation to safely handle and store flammab</w:t>
            </w:r>
            <w:r w:rsidRPr="00D325D9">
              <w:t>le refrigerants.</w:t>
            </w:r>
          </w:p>
          <w:p w:rsidR="00000000" w:rsidRPr="00D325D9" w:rsidP="00D325D9">
            <w:pPr>
              <w:pStyle w:val="BodyText"/>
            </w:pPr>
            <w:r w:rsidRPr="00D325D9">
              <w:t>Dangerous goods and ozone protection, work health and safety (WHS)/occupational health and safety (OHS), and synthetic greenhouse gas management legislative requirements apply to this unit.</w:t>
            </w:r>
          </w:p>
          <w:p w:rsidR="00000000" w:rsidRPr="00D325D9" w:rsidP="00D325D9">
            <w:pPr>
              <w:pStyle w:val="BodyText"/>
            </w:pPr>
            <w:r w:rsidRPr="00D325D9">
              <w:t>The skills and knowledge in this unit will be app</w:t>
            </w:r>
            <w:r w:rsidRPr="00D325D9">
              <w:t xml:space="preserve">lied by those managing, supervising or working in or near a location that contains refrigeration or air conditioning equipment using flammable refrigerant. These could include managers, supervisors, maintenance staff, cleaners, employees and refrigeration </w:t>
            </w:r>
            <w:r w:rsidRPr="00D325D9">
              <w:t xml:space="preserve">and air conditioning technicians 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3" w:name="O_1083211"/>
      <w:bookmarkEnd w:id="3"/>
      <w:r w:rsidRPr="00D325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Not applicable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4" w:name="O_1083212"/>
      <w:bookmarkEnd w:id="4"/>
      <w:r w:rsidRPr="00D325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Refrigeration and air-conditioning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5" w:name="O_1083213"/>
      <w:bookmarkEnd w:id="5"/>
      <w:r w:rsidRPr="00D325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Electrotechnology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6" w:name="O_1083214"/>
      <w:bookmarkEnd w:id="6"/>
      <w:r w:rsidRPr="00D325D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PERFORMANCE CRITERIA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Performance criteria describe the performance needed to demonstrate achievement of the element.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rPr>
                <w:rStyle w:val="SpecialBold"/>
              </w:rPr>
              <w:t>Prepare to work with flammable refrigerants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WHS/OHS requirements, legislative requirements and workplace procedures for a given work area are identified, obtained and applied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Work area access permits are obtained from relevant person/s in accordance with workplace procedures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Preparations for electrical and non-electrical isolation to prevent hazards from loss of machine/system/process control are conducted in accordance with WHS/OHS and workplace procedures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Tools and equipment required for work are checked for safety an</w:t>
            </w:r>
            <w:r w:rsidRPr="00D325D9">
              <w:t>d correct functionality in accordance with workplace procedures and relevant industry standards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rPr>
                <w:rStyle w:val="SpecialBold"/>
              </w:rPr>
              <w:t>Apply safe working practices to flammable refrigerants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 xml:space="preserve">WHS/OHS risk control measures, legislative requirements and workplace procedures for carrying out </w:t>
            </w:r>
            <w:r w:rsidRPr="00D325D9">
              <w:t>the work are followed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Workplace procedures for dealing with accidents, fires and emergencies are followed in accordance with WHS/OHS, legislative requirements and workplace procedures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rPr>
                <w:rStyle w:val="SpecialBold"/>
              </w:rPr>
              <w:t>Follow workplace procedures for hazard identification and risk</w:t>
            </w:r>
            <w:r w:rsidRPr="00D325D9">
              <w:rPr>
                <w:rStyle w:val="SpecialBold"/>
              </w:rPr>
              <w:t xml:space="preserve"> control of flammable refrigerants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Hazards are identified and risk control measures implemented and monitored in consultation with relevant person/s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Hazards in the work area are recognised and reported to relevant person/s in accordance with workplace procedures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WHS/OHS records of incidents are completed in accordance with relevant industry standards and workplace procedures</w:t>
            </w:r>
          </w:p>
        </w:tc>
      </w:tr>
      <w:tr w:rsidTr="00D325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Workplace instructions and training are followed in accordance workplace procedures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7" w:name="O_1083215"/>
      <w:bookmarkEnd w:id="7"/>
      <w:r w:rsidRPr="00D325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Foundation skills essential to performance are explicit in the performance criteria of this unit of competency.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8" w:name="O_1083216"/>
      <w:bookmarkEnd w:id="8"/>
      <w:r w:rsidRPr="00D325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Range is restricted to essential operating conditions and any other variables essential to the work environment.</w:t>
            </w:r>
          </w:p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Non-essential conditions may be found in the UEE Electrotechnology Training Package Companion Volume Implementation Guide.</w:t>
            </w:r>
          </w:p>
        </w:tc>
      </w:tr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D9">
            <w:pPr>
              <w:pStyle w:val="BodyText"/>
              <w:rPr>
                <w:lang w:val="en-NZ"/>
              </w:rPr>
            </w:pPr>
            <w:r w:rsidRPr="00D325D9">
              <w:t>Applying safety awareness and legal requirements for flammable refrigerants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ListBullet"/>
            </w:pPr>
            <w:r w:rsidRPr="00D325D9">
              <w:t>class A2, A2L and A3 refrigerants</w:t>
            </w:r>
          </w:p>
          <w:p w:rsidR="00000000" w:rsidRPr="00D325D9" w:rsidP="00D325D9">
            <w:pPr>
              <w:pStyle w:val="ListBullet"/>
            </w:pPr>
            <w:r w:rsidRPr="00D325D9">
              <w:t>safe handling, storage and transport of flammable refrigerant cylinders</w:t>
            </w:r>
          </w:p>
          <w:p w:rsidR="00000000" w:rsidRPr="00D325D9" w:rsidP="00D325D9">
            <w:pPr>
              <w:pStyle w:val="ListBullet"/>
            </w:pPr>
            <w:r w:rsidRPr="00D325D9">
              <w:t>labelling requirement for flammable refrigerant cylinders and systems containing flammable refrigerant</w:t>
            </w:r>
          </w:p>
          <w:p w:rsidR="00000000" w:rsidRPr="00D325D9" w:rsidP="00D325D9">
            <w:pPr>
              <w:pStyle w:val="ListBullet"/>
            </w:pPr>
            <w:r w:rsidRPr="00D325D9">
              <w:t>personal protective equipment (PPE) required for the safe handling of flammable refrigerant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9" w:name="O_1083217"/>
      <w:bookmarkEnd w:id="9"/>
      <w:r w:rsidRPr="00D325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5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D9" w:rsidP="00D325D9">
            <w:pPr>
              <w:pStyle w:val="BodyText"/>
            </w:pPr>
            <w:r w:rsidRPr="00D325D9">
              <w:t>This unit repla</w:t>
            </w:r>
            <w:r w:rsidRPr="00D325D9">
              <w:t>ces and is equivalent to UEENEEJ174A Apply safety awareness and legal requirements for flammable refrigerants.</w:t>
            </w:r>
          </w:p>
        </w:tc>
      </w:tr>
    </w:tbl>
    <w:p w:rsidR="00000000" w:rsidRPr="00D325D9" w:rsidP="00D325D9">
      <w:pPr>
        <w:pStyle w:val="NoPaddingFontSize1"/>
      </w:pPr>
    </w:p>
    <w:p w:rsidR="00000000" w:rsidRPr="00D325D9" w:rsidP="00D325D9">
      <w:pPr>
        <w:pStyle w:val="AllowPageBreak"/>
      </w:pPr>
    </w:p>
    <w:p w:rsidR="00000000" w:rsidRPr="00D325D9" w:rsidP="00D325D9">
      <w:pPr>
        <w:pStyle w:val="Heading1"/>
      </w:pPr>
      <w:bookmarkStart w:id="10" w:name="O_1083228"/>
      <w:bookmarkEnd w:id="10"/>
      <w:r w:rsidRPr="00D325D9">
        <w:t>Links</w:t>
      </w:r>
    </w:p>
    <w:p w:rsidR="00000000" w:rsidRPr="00D325D9" w:rsidP="00C076C0">
      <w:pPr>
        <w:pStyle w:val="BodyText"/>
      </w:pPr>
      <w:r w:rsidRPr="00D325D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640D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325D9" w:rsidP="00D325D9"/>
    <w:sectPr w:rsidSect="00D325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D9" w:rsidRPr="00C076C0" w:rsidP="00C07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C0" w:rsidP="00D32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6C0" w:rsidP="00D32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076C0" w:rsidP="00D32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5D9" w:rsidRPr="00C076C0" w:rsidP="00C07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C0" w:rsidRPr="002D2AF8" w:rsidP="00D32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UEERA0007 Apply safety awareness and legal requirements for flammable refrigerants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076C0" w:rsidP="00D32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3A5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7C5F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5D9"/>
  </w:style>
  <w:style w:type="character" w:customStyle="1" w:styleId="Heading1Char">
    <w:name w:val="Heading 1 Char"/>
    <w:basedOn w:val="DefaultParagraphFont"/>
    <w:link w:val="Heading1"/>
    <w:rsid w:val="00D32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5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5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5D9"/>
    <w:rPr>
      <w:b/>
      <w:spacing w:val="0"/>
    </w:rPr>
  </w:style>
  <w:style w:type="paragraph" w:customStyle="1" w:styleId="SuperHeading">
    <w:name w:val="SuperHeading"/>
    <w:basedOn w:val="Normal"/>
    <w:rsid w:val="00D32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2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5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5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5D9"/>
    <w:rPr>
      <w:i/>
    </w:rPr>
  </w:style>
  <w:style w:type="paragraph" w:styleId="Caption">
    <w:name w:val="caption"/>
    <w:basedOn w:val="BodyText"/>
    <w:next w:val="Normal"/>
    <w:qFormat/>
    <w:rsid w:val="00D32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5D9"/>
  </w:style>
  <w:style w:type="paragraph" w:styleId="TableofFigures">
    <w:name w:val="table of figures"/>
    <w:basedOn w:val="Normal"/>
    <w:next w:val="Normal"/>
    <w:semiHidden/>
    <w:rsid w:val="00D32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5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5D9"/>
    <w:rPr>
      <w:rFonts w:ascii="Wingdings" w:hAnsi="Wingdings"/>
    </w:rPr>
  </w:style>
  <w:style w:type="paragraph" w:customStyle="1" w:styleId="TableHeading">
    <w:name w:val="Table Heading"/>
    <w:basedOn w:val="HeadingBase"/>
    <w:rsid w:val="00D32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5D9"/>
    <w:rPr>
      <w:color w:val="0033CC"/>
      <w:u w:val="none"/>
    </w:rPr>
  </w:style>
  <w:style w:type="paragraph" w:customStyle="1" w:styleId="BodyTextRight">
    <w:name w:val="Body Text Right"/>
    <w:basedOn w:val="BodyText"/>
    <w:rsid w:val="00D32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5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5D9"/>
    <w:rPr>
      <w:sz w:val="32"/>
    </w:rPr>
  </w:style>
  <w:style w:type="paragraph" w:customStyle="1" w:styleId="HeadingProcedure">
    <w:name w:val="Heading Procedure"/>
    <w:basedOn w:val="HeadingBase"/>
    <w:next w:val="Normal"/>
    <w:rsid w:val="00D32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5D9"/>
    <w:pPr>
      <w:spacing w:before="60" w:after="60"/>
    </w:pPr>
  </w:style>
  <w:style w:type="paragraph" w:styleId="ListContinue">
    <w:name w:val="List Continue"/>
    <w:basedOn w:val="List"/>
    <w:rsid w:val="00D325D9"/>
    <w:pPr>
      <w:ind w:firstLine="0"/>
    </w:pPr>
  </w:style>
  <w:style w:type="paragraph" w:customStyle="1" w:styleId="ListNote">
    <w:name w:val="List Note"/>
    <w:basedOn w:val="List"/>
    <w:rsid w:val="00D32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5D9"/>
    <w:rPr>
      <w:rFonts w:ascii="Courier New" w:hAnsi="Courier New"/>
    </w:rPr>
  </w:style>
  <w:style w:type="paragraph" w:customStyle="1" w:styleId="NoteBullet">
    <w:name w:val="Note Bullet"/>
    <w:basedOn w:val="Note"/>
    <w:rsid w:val="00D32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5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5D9"/>
    <w:rPr>
      <w:b/>
      <w:smallCaps/>
    </w:rPr>
  </w:style>
  <w:style w:type="paragraph" w:customStyle="1" w:styleId="TableListNumber">
    <w:name w:val="Table List Number"/>
    <w:basedOn w:val="ListNumber"/>
    <w:rsid w:val="00D32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5D9"/>
    <w:pPr>
      <w:numPr>
        <w:numId w:val="8"/>
      </w:numPr>
    </w:pPr>
  </w:style>
  <w:style w:type="paragraph" w:customStyle="1" w:styleId="ListAlpha2">
    <w:name w:val="List Alpha 2"/>
    <w:basedOn w:val="List2"/>
    <w:rsid w:val="00D325D9"/>
    <w:pPr>
      <w:numPr>
        <w:numId w:val="7"/>
      </w:numPr>
    </w:pPr>
  </w:style>
  <w:style w:type="paragraph" w:styleId="List2">
    <w:name w:val="List 2"/>
    <w:basedOn w:val="BodyText"/>
    <w:rsid w:val="00D32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5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5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5D9"/>
    <w:pPr>
      <w:numPr>
        <w:numId w:val="3"/>
      </w:numPr>
    </w:pPr>
  </w:style>
  <w:style w:type="paragraph" w:styleId="ListContinue2">
    <w:name w:val="List Continue 2"/>
    <w:basedOn w:val="List2"/>
    <w:rsid w:val="00D325D9"/>
    <w:pPr>
      <w:ind w:firstLine="0"/>
    </w:pPr>
  </w:style>
  <w:style w:type="paragraph" w:styleId="ListContinue3">
    <w:name w:val="List Continue 3"/>
    <w:basedOn w:val="List3"/>
    <w:rsid w:val="00D325D9"/>
    <w:pPr>
      <w:ind w:left="1021" w:firstLine="0"/>
    </w:pPr>
  </w:style>
  <w:style w:type="paragraph" w:styleId="ListContinue4">
    <w:name w:val="List Continue 4"/>
    <w:basedOn w:val="List4"/>
    <w:rsid w:val="00D325D9"/>
    <w:pPr>
      <w:ind w:firstLine="0"/>
    </w:pPr>
  </w:style>
  <w:style w:type="paragraph" w:styleId="ListContinue5">
    <w:name w:val="List Continue 5"/>
    <w:basedOn w:val="List5"/>
    <w:rsid w:val="00D325D9"/>
    <w:pPr>
      <w:ind w:firstLine="0"/>
    </w:pPr>
  </w:style>
  <w:style w:type="paragraph" w:styleId="ListNumber3">
    <w:name w:val="List Number 3"/>
    <w:basedOn w:val="List3"/>
    <w:rsid w:val="00D325D9"/>
    <w:pPr>
      <w:numPr>
        <w:numId w:val="4"/>
      </w:numPr>
    </w:pPr>
  </w:style>
  <w:style w:type="paragraph" w:styleId="ListNumber4">
    <w:name w:val="List Number 4"/>
    <w:basedOn w:val="List4"/>
    <w:rsid w:val="00D325D9"/>
    <w:pPr>
      <w:numPr>
        <w:numId w:val="5"/>
      </w:numPr>
    </w:pPr>
  </w:style>
  <w:style w:type="paragraph" w:styleId="ListNumber5">
    <w:name w:val="List Number 5"/>
    <w:basedOn w:val="List5"/>
    <w:rsid w:val="00D325D9"/>
    <w:pPr>
      <w:numPr>
        <w:numId w:val="6"/>
      </w:numPr>
    </w:pPr>
  </w:style>
  <w:style w:type="paragraph" w:styleId="BlockText">
    <w:name w:val="Block Text"/>
    <w:basedOn w:val="Normal"/>
    <w:rsid w:val="00D32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5D9"/>
    <w:rPr>
      <w:sz w:val="16"/>
      <w:vertAlign w:val="superscript"/>
    </w:rPr>
  </w:style>
  <w:style w:type="character" w:customStyle="1" w:styleId="Symbols">
    <w:name w:val="Symbols"/>
    <w:basedOn w:val="DefaultParagraphFont"/>
    <w:rsid w:val="00D325D9"/>
    <w:rPr>
      <w:rFonts w:ascii="Symbol" w:hAnsi="Symbol"/>
    </w:rPr>
  </w:style>
  <w:style w:type="character" w:customStyle="1" w:styleId="MenuOptions">
    <w:name w:val="Menu Options"/>
    <w:basedOn w:val="DefaultParagraphFont"/>
    <w:rsid w:val="00D32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5D9"/>
    <w:rPr>
      <w:b/>
    </w:rPr>
  </w:style>
  <w:style w:type="character" w:customStyle="1" w:styleId="Underlined">
    <w:name w:val="Underlined"/>
    <w:basedOn w:val="DefaultParagraphFont"/>
    <w:rsid w:val="00D325D9"/>
    <w:rPr>
      <w:u w:val="single"/>
    </w:rPr>
  </w:style>
  <w:style w:type="paragraph" w:customStyle="1" w:styleId="TableBodyTextRight">
    <w:name w:val="Table Body Text Right"/>
    <w:basedOn w:val="TableBodyText"/>
    <w:rsid w:val="00D32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5D9"/>
    <w:rPr>
      <w:sz w:val="18"/>
    </w:rPr>
  </w:style>
  <w:style w:type="paragraph" w:customStyle="1" w:styleId="BodySmallRight">
    <w:name w:val="Body Small Right"/>
    <w:basedOn w:val="BodyTextRight"/>
    <w:rsid w:val="00D325D9"/>
    <w:rPr>
      <w:sz w:val="18"/>
      <w:szCs w:val="18"/>
    </w:rPr>
  </w:style>
  <w:style w:type="paragraph" w:customStyle="1" w:styleId="MarginEdition">
    <w:name w:val="Margin Edition"/>
    <w:basedOn w:val="MarginNote"/>
    <w:rsid w:val="00D32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5D9"/>
    <w:rPr>
      <w:sz w:val="2"/>
      <w:szCs w:val="2"/>
    </w:rPr>
  </w:style>
  <w:style w:type="character" w:customStyle="1" w:styleId="Small">
    <w:name w:val="Small"/>
    <w:basedOn w:val="DefaultParagraphFont"/>
    <w:rsid w:val="00D325D9"/>
    <w:rPr>
      <w:sz w:val="16"/>
    </w:rPr>
  </w:style>
  <w:style w:type="paragraph" w:customStyle="1" w:styleId="WideTable">
    <w:name w:val="Wide Table"/>
    <w:basedOn w:val="Normal"/>
    <w:rsid w:val="00D32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5D9"/>
  </w:style>
  <w:style w:type="paragraph" w:styleId="Quote">
    <w:name w:val="Quote"/>
    <w:basedOn w:val="Heading1"/>
    <w:link w:val="QuoteChar"/>
    <w:qFormat/>
    <w:rsid w:val="00D32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5D9"/>
    <w:pPr>
      <w:pageBreakBefore/>
    </w:pPr>
  </w:style>
  <w:style w:type="paragraph" w:customStyle="1" w:styleId="Border">
    <w:name w:val="Border"/>
    <w:basedOn w:val="Normal"/>
    <w:qFormat/>
    <w:rsid w:val="00D32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5D9"/>
    <w:rPr>
      <w:u w:val="single"/>
    </w:rPr>
  </w:style>
  <w:style w:type="character" w:customStyle="1" w:styleId="BoldandItalics">
    <w:name w:val="Bold and Italics"/>
    <w:qFormat/>
    <w:rsid w:val="00D325D9"/>
    <w:rPr>
      <w:b/>
      <w:i/>
      <w:u w:val="none"/>
    </w:rPr>
  </w:style>
  <w:style w:type="paragraph" w:styleId="BalloonText">
    <w:name w:val="Balloon Text"/>
    <w:basedOn w:val="Normal"/>
    <w:link w:val="BalloonTextChar"/>
    <w:rsid w:val="00D32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5D9"/>
    <w:pPr>
      <w:spacing w:before="0" w:after="0"/>
    </w:pPr>
  </w:style>
  <w:style w:type="paragraph" w:customStyle="1" w:styleId="BodyTextBold">
    <w:name w:val="Body Text Bold"/>
    <w:basedOn w:val="BodyText"/>
    <w:qFormat/>
    <w:rsid w:val="00D325D9"/>
    <w:rPr>
      <w:b/>
    </w:rPr>
  </w:style>
  <w:style w:type="character" w:styleId="Hyperlink">
    <w:name w:val="Hyperlink"/>
    <w:basedOn w:val="DefaultParagraphFont"/>
    <w:uiPriority w:val="99"/>
    <w:unhideWhenUsed/>
    <w:rsid w:val="00C07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3720</Characters>
  <Application>Microsoft Office Word</Application>
  <DocSecurity>0</DocSecurity>
  <Lines>155</Lines>
  <Paragraphs>73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UEERA0007 Apply safety awareness and legal requirements for flammable refrigerants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