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284" w:rsidP="004F3284">
      <w:pPr>
        <w:pStyle w:val="Title"/>
      </w:pPr>
      <w:r>
        <w:fldChar w:fldCharType="begin"/>
      </w:r>
      <w:r>
        <w:instrText xml:space="preserve"> TITLE   \* MERGEFORMAT </w:instrText>
      </w:r>
      <w:r>
        <w:fldChar w:fldCharType="separate"/>
      </w:r>
      <w:r>
        <w:t>Assessment Requirements for UEEIC0043 Solve problems in temperature measurement components and systems</w:t>
      </w:r>
      <w:r>
        <w:fldChar w:fldCharType="end"/>
      </w:r>
    </w:p>
    <w:p w:rsidR="004F3284" w:rsidP="004F3284">
      <w:pPr>
        <w:pStyle w:val="Version"/>
        <w:sectPr w:rsidSect="00B860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0E2" w:rsidP="00B860E2">
      <w:pPr>
        <w:pStyle w:val="SuperHeading"/>
      </w:pPr>
      <w:r w:rsidRPr="00B860E2">
        <w:t>Assessment Requirements for UEEIC0043 Solve problems in temperature measurement components and systems</w:t>
      </w:r>
    </w:p>
    <w:p w:rsidR="00000000" w:rsidRPr="00B860E2" w:rsidP="00B860E2">
      <w:pPr>
        <w:pStyle w:val="Heading1"/>
      </w:pPr>
      <w:bookmarkStart w:id="1" w:name="O_1083200"/>
      <w:bookmarkEnd w:id="1"/>
      <w:r w:rsidRPr="00B860E2">
        <w:t>Modification History</w:t>
      </w:r>
    </w:p>
    <w:tbl>
      <w:tblPr>
        <w:tblW w:w="9497" w:type="dxa"/>
        <w:tblLayout w:type="fixed"/>
        <w:tblCellMar>
          <w:left w:w="62" w:type="dxa"/>
          <w:right w:w="62" w:type="dxa"/>
        </w:tblCellMar>
        <w:tblLook w:val="0000"/>
      </w:tblPr>
      <w:tblGrid>
        <w:gridCol w:w="9497"/>
      </w:tblGrid>
      <w:tr w:rsidTr="00B860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E2" w:rsidP="00B860E2">
            <w:pPr>
              <w:pStyle w:val="BodyText"/>
            </w:pPr>
            <w:r w:rsidRPr="00B860E2">
              <w:t>Release 1. This is the first release of this unit of competency in the UEE Electrotechnology Training Package.</w:t>
            </w:r>
          </w:p>
        </w:tc>
      </w:tr>
    </w:tbl>
    <w:p w:rsidR="00000000" w:rsidRPr="00B860E2" w:rsidP="00B860E2">
      <w:pPr>
        <w:pStyle w:val="NoPaddingFontSize1"/>
      </w:pPr>
    </w:p>
    <w:p w:rsidR="00000000" w:rsidRPr="00B860E2" w:rsidP="00B860E2">
      <w:pPr>
        <w:pStyle w:val="AllowPageBreak"/>
      </w:pPr>
    </w:p>
    <w:p w:rsidR="00000000" w:rsidRPr="00B860E2" w:rsidP="00B860E2">
      <w:pPr>
        <w:pStyle w:val="Heading1"/>
      </w:pPr>
      <w:bookmarkStart w:id="2" w:name="O_1083201"/>
      <w:bookmarkEnd w:id="2"/>
      <w:r w:rsidRPr="00B860E2">
        <w:t>Performance Evidence</w:t>
      </w:r>
    </w:p>
    <w:tbl>
      <w:tblPr>
        <w:tblW w:w="9497" w:type="dxa"/>
        <w:tblLayout w:type="fixed"/>
        <w:tblCellMar>
          <w:left w:w="62" w:type="dxa"/>
          <w:right w:w="62" w:type="dxa"/>
        </w:tblCellMar>
        <w:tblLook w:val="0000"/>
      </w:tblPr>
      <w:tblGrid>
        <w:gridCol w:w="9497"/>
      </w:tblGrid>
      <w:tr w:rsidTr="00B860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60E2">
            <w:pPr>
              <w:pStyle w:val="BodyText"/>
              <w:rPr>
                <w:lang w:val="en-NZ"/>
              </w:rPr>
            </w:pPr>
            <w:r w:rsidRPr="00B860E2">
              <w:t>Evidence required to demonstrate competence in this unit must be relevant to and satisfy all of the requirements of the elements, performance criteria and range of conditions on at least two separate occasions and in</w:t>
            </w:r>
            <w:r w:rsidRPr="00B860E2">
              <w:t xml:space="preserve">clude: </w:t>
            </w:r>
          </w:p>
        </w:tc>
      </w:tr>
      <w:tr w:rsidTr="00B860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E2" w:rsidP="00B860E2">
            <w:pPr>
              <w:pStyle w:val="ListBullet"/>
            </w:pPr>
            <w:r w:rsidRPr="00B860E2">
              <w:t>applying relevant work health and safety (WHS)/occupational health and safety (OHS) requirements, including:</w:t>
            </w:r>
          </w:p>
          <w:p w:rsidR="00000000" w:rsidRPr="00B860E2" w:rsidP="00B860E2">
            <w:pPr>
              <w:pStyle w:val="ListBullet2"/>
            </w:pPr>
            <w:r w:rsidRPr="00B860E2">
              <w:t>identifying risk control measures</w:t>
            </w:r>
          </w:p>
          <w:p w:rsidR="00000000" w:rsidRPr="00B860E2" w:rsidP="00B860E2">
            <w:pPr>
              <w:pStyle w:val="ListBullet2"/>
            </w:pPr>
            <w:r w:rsidRPr="00B860E2">
              <w:t>applying safe working practices</w:t>
            </w:r>
          </w:p>
          <w:p w:rsidR="00000000" w:rsidRPr="00B860E2" w:rsidP="00B860E2">
            <w:pPr>
              <w:pStyle w:val="ListBullet"/>
            </w:pPr>
            <w:r w:rsidRPr="00B860E2">
              <w:t>applying sustainable energy principles and practices</w:t>
            </w:r>
          </w:p>
          <w:p w:rsidR="00000000" w:rsidRPr="00B860E2" w:rsidP="00B860E2">
            <w:pPr>
              <w:pStyle w:val="ListBullet"/>
            </w:pPr>
            <w:r w:rsidRPr="00B860E2">
              <w:t>completing work and documenting work activities</w:t>
            </w:r>
          </w:p>
          <w:p w:rsidR="00000000" w:rsidRPr="00B860E2" w:rsidP="00B860E2">
            <w:pPr>
              <w:pStyle w:val="ListBullet"/>
            </w:pPr>
            <w:r w:rsidRPr="00B860E2">
              <w:t>coordinating work with others</w:t>
            </w:r>
          </w:p>
          <w:p w:rsidR="00000000" w:rsidRPr="00B860E2" w:rsidP="00B860E2">
            <w:pPr>
              <w:pStyle w:val="ListBullet"/>
            </w:pPr>
            <w:r w:rsidRPr="00B860E2">
              <w:t>dealing with unplanned events/situations in accordance with workplace procedures in a manner that minimises risk to personnel and equipment</w:t>
            </w:r>
          </w:p>
          <w:p w:rsidR="00000000" w:rsidRPr="00B860E2" w:rsidP="00B860E2">
            <w:pPr>
              <w:pStyle w:val="ListBullet"/>
            </w:pPr>
            <w:r w:rsidRPr="00B860E2">
              <w:t>identifying sources of materials</w:t>
            </w:r>
          </w:p>
          <w:p w:rsidR="00000000" w:rsidRPr="00B860E2" w:rsidP="00B860E2">
            <w:pPr>
              <w:pStyle w:val="ListBullet"/>
            </w:pPr>
            <w:r w:rsidRPr="00B860E2">
              <w:t>obtai</w:t>
            </w:r>
            <w:r w:rsidRPr="00B860E2">
              <w:t>ning tools, equipment and testing devices</w:t>
            </w:r>
          </w:p>
          <w:p w:rsidR="00000000" w:rsidRPr="00B860E2" w:rsidP="00B860E2">
            <w:pPr>
              <w:pStyle w:val="ListBullet"/>
            </w:pPr>
            <w:r w:rsidRPr="00B860E2">
              <w:t>preparing to work on temperature measurement components and systems</w:t>
            </w:r>
          </w:p>
          <w:p w:rsidR="00000000" w:rsidRPr="00B860E2" w:rsidP="00B860E2">
            <w:pPr>
              <w:pStyle w:val="ListBullet"/>
            </w:pPr>
            <w:r w:rsidRPr="00B860E2">
              <w:t>solving problems in temperature measurement components and systems</w:t>
            </w:r>
          </w:p>
          <w:p w:rsidR="00000000" w:rsidRPr="00B860E2" w:rsidP="00B860E2">
            <w:pPr>
              <w:pStyle w:val="ListBullet"/>
            </w:pPr>
            <w:r w:rsidRPr="00B860E2">
              <w:t>solving temperature measurement problems.</w:t>
            </w:r>
          </w:p>
        </w:tc>
      </w:tr>
    </w:tbl>
    <w:p w:rsidR="00000000" w:rsidRPr="00B860E2" w:rsidP="00B860E2">
      <w:pPr>
        <w:pStyle w:val="NoPaddingFontSize1"/>
      </w:pPr>
    </w:p>
    <w:p w:rsidR="00000000" w:rsidRPr="00B860E2" w:rsidP="00B860E2">
      <w:pPr>
        <w:pStyle w:val="AllowPageBreak"/>
      </w:pPr>
    </w:p>
    <w:p w:rsidR="00000000" w:rsidRPr="00B860E2" w:rsidP="00B860E2">
      <w:pPr>
        <w:pStyle w:val="Heading1"/>
      </w:pPr>
      <w:bookmarkStart w:id="3" w:name="O_1083202"/>
      <w:bookmarkEnd w:id="3"/>
      <w:r w:rsidRPr="00B860E2">
        <w:t>Knowledge Evidence</w:t>
      </w:r>
    </w:p>
    <w:tbl>
      <w:tblPr>
        <w:tblW w:w="9497" w:type="dxa"/>
        <w:tblLayout w:type="fixed"/>
        <w:tblCellMar>
          <w:left w:w="62" w:type="dxa"/>
          <w:right w:w="62" w:type="dxa"/>
        </w:tblCellMar>
        <w:tblLook w:val="0000"/>
      </w:tblPr>
      <w:tblGrid>
        <w:gridCol w:w="9497"/>
      </w:tblGrid>
      <w:tr w:rsidTr="00B860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60E2">
            <w:pPr>
              <w:pStyle w:val="BodyText"/>
              <w:rPr>
                <w:lang w:val="en-NZ"/>
              </w:rPr>
            </w:pPr>
            <w:r w:rsidRPr="00B860E2">
              <w:t xml:space="preserve">Evidence required to demonstrate competence in this unit must be relevant to and satisfy all of the requirements of the elements, performance criteria and range of conditions and include knowledge of: </w:t>
            </w:r>
          </w:p>
        </w:tc>
      </w:tr>
      <w:tr w:rsidTr="00B860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E2" w:rsidP="00B860E2">
            <w:pPr>
              <w:pStyle w:val="ListBullet"/>
            </w:pPr>
            <w:r w:rsidRPr="00B860E2">
              <w:t>introduction to temperature measu</w:t>
            </w:r>
            <w:r w:rsidRPr="00B860E2">
              <w:t>rement, including:</w:t>
            </w:r>
          </w:p>
          <w:p w:rsidR="00000000" w:rsidRPr="00B860E2" w:rsidP="00B860E2">
            <w:pPr>
              <w:pStyle w:val="ListBullet2"/>
            </w:pPr>
            <w:r w:rsidRPr="00B860E2">
              <w:t>temperature measurement terms</w:t>
            </w:r>
          </w:p>
          <w:p w:rsidR="00000000" w:rsidRPr="00B860E2" w:rsidP="00B860E2">
            <w:pPr>
              <w:pStyle w:val="ListBullet2"/>
            </w:pPr>
            <w:r w:rsidRPr="00B860E2">
              <w:t>international temperature scale</w:t>
            </w:r>
          </w:p>
          <w:p w:rsidR="00000000" w:rsidRPr="00B860E2" w:rsidP="00B860E2">
            <w:pPr>
              <w:pStyle w:val="ListBullet2"/>
            </w:pPr>
            <w:r w:rsidRPr="00B860E2">
              <w:t>temperature scales</w:t>
            </w:r>
          </w:p>
          <w:p w:rsidR="00000000" w:rsidRPr="00B860E2" w:rsidP="00B860E2">
            <w:pPr>
              <w:pStyle w:val="ListBullet2"/>
            </w:pPr>
            <w:r w:rsidRPr="00B860E2">
              <w:t>conversion of temperature readings</w:t>
            </w:r>
          </w:p>
          <w:p w:rsidR="00000000" w:rsidRPr="00B860E2" w:rsidP="00B860E2">
            <w:pPr>
              <w:pStyle w:val="ListBullet2"/>
            </w:pPr>
            <w:r w:rsidRPr="00B860E2">
              <w:t>temperature measuring elements</w:t>
            </w:r>
          </w:p>
          <w:p w:rsidR="00000000" w:rsidRPr="00B860E2" w:rsidP="00B860E2">
            <w:pPr>
              <w:pStyle w:val="ListBullet2"/>
            </w:pPr>
            <w:r w:rsidRPr="00B860E2">
              <w:t>temperature sensor selection factors</w:t>
            </w:r>
          </w:p>
          <w:p w:rsidR="00000000" w:rsidRPr="00B860E2" w:rsidP="00B860E2">
            <w:pPr>
              <w:pStyle w:val="ListBullet2"/>
            </w:pPr>
            <w:r w:rsidRPr="00B860E2">
              <w:t>errors in temperature measurement</w:t>
            </w:r>
          </w:p>
          <w:p w:rsidR="00000000" w:rsidRPr="00B860E2" w:rsidP="00B860E2">
            <w:pPr>
              <w:pStyle w:val="ListBullet2"/>
            </w:pPr>
            <w:r w:rsidRPr="00B860E2">
              <w:t>methods used to reduce errors.</w:t>
            </w:r>
          </w:p>
          <w:p w:rsidR="00000000" w:rsidRPr="00B860E2" w:rsidP="00B860E2">
            <w:pPr>
              <w:pStyle w:val="ListBullet2"/>
            </w:pPr>
            <w:r w:rsidRPr="00B860E2">
              <w:t>types and applications of temperature transducers</w:t>
            </w:r>
          </w:p>
          <w:p w:rsidR="00000000" w:rsidRPr="00B860E2" w:rsidP="00B860E2">
            <w:pPr>
              <w:pStyle w:val="ListBullet2"/>
            </w:pPr>
            <w:r w:rsidRPr="00B860E2">
              <w:t>transducers input/outputs - measurement and evaluation</w:t>
            </w:r>
          </w:p>
          <w:p w:rsidR="00000000" w:rsidRPr="00B860E2" w:rsidP="00B860E2">
            <w:pPr>
              <w:pStyle w:val="ListBullet2"/>
            </w:pPr>
            <w:r w:rsidRPr="00B860E2">
              <w:t>transducer connections</w:t>
            </w:r>
          </w:p>
          <w:p w:rsidR="00000000" w:rsidRPr="00B860E2" w:rsidP="00B860E2">
            <w:pPr>
              <w:pStyle w:val="ListBullet"/>
            </w:pPr>
            <w:r w:rsidRPr="00B860E2">
              <w:t>filled system thermometers, including:</w:t>
            </w:r>
          </w:p>
          <w:p w:rsidR="00000000" w:rsidRPr="00B860E2" w:rsidP="00B860E2">
            <w:pPr>
              <w:pStyle w:val="ListBullet2"/>
            </w:pPr>
            <w:r w:rsidRPr="00B860E2">
              <w:t>applications of filled system thermometers</w:t>
            </w:r>
          </w:p>
          <w:p w:rsidR="00000000" w:rsidRPr="00B860E2" w:rsidP="00B860E2">
            <w:pPr>
              <w:pStyle w:val="ListBullet2"/>
            </w:pPr>
            <w:r w:rsidRPr="00B860E2">
              <w:t>calibration o</w:t>
            </w:r>
            <w:r w:rsidRPr="00B860E2">
              <w:t>f filled systems</w:t>
            </w:r>
          </w:p>
          <w:p w:rsidR="00000000" w:rsidRPr="00B860E2" w:rsidP="00B860E2">
            <w:pPr>
              <w:pStyle w:val="ListBullet2"/>
            </w:pPr>
            <w:r w:rsidRPr="00B860E2">
              <w:t>filled systems operating principles</w:t>
            </w:r>
          </w:p>
          <w:p w:rsidR="00000000" w:rsidRPr="00B860E2" w:rsidP="00B860E2">
            <w:pPr>
              <w:pStyle w:val="ListBullet2"/>
            </w:pPr>
            <w:r w:rsidRPr="00B860E2">
              <w:t>liquid in glass thermometers construction</w:t>
            </w:r>
          </w:p>
          <w:p w:rsidR="00000000" w:rsidRPr="00B860E2" w:rsidP="00B860E2">
            <w:pPr>
              <w:pStyle w:val="ListBullet"/>
            </w:pPr>
            <w:r w:rsidRPr="00B860E2">
              <w:t>other temperature measuring techniques, including:</w:t>
            </w:r>
          </w:p>
          <w:p w:rsidR="00000000" w:rsidRPr="00B860E2" w:rsidP="00B860E2">
            <w:pPr>
              <w:pStyle w:val="ListBullet2"/>
            </w:pPr>
            <w:r w:rsidRPr="00B860E2">
              <w:t>thermistor characteristics and circuit operation</w:t>
            </w:r>
          </w:p>
          <w:p w:rsidR="00000000" w:rsidRPr="00B860E2" w:rsidP="00B860E2">
            <w:pPr>
              <w:pStyle w:val="ListBullet2"/>
            </w:pPr>
            <w:r w:rsidRPr="00B860E2">
              <w:t>thermistor temperature measuring circuits and operation</w:t>
            </w:r>
          </w:p>
          <w:p w:rsidR="00000000" w:rsidRPr="00B860E2" w:rsidP="00B860E2">
            <w:pPr>
              <w:pStyle w:val="ListBullet2"/>
            </w:pPr>
            <w:r w:rsidRPr="00B860E2">
              <w:t>temperature measurement characteristics of solid-state devices and circuits</w:t>
            </w:r>
          </w:p>
          <w:p w:rsidR="00000000" w:rsidRPr="00B860E2" w:rsidP="00B860E2">
            <w:pPr>
              <w:pStyle w:val="ListBullet2"/>
            </w:pPr>
            <w:r w:rsidRPr="00B860E2">
              <w:t>temperature indicators: characteristics and applications</w:t>
            </w:r>
          </w:p>
          <w:p w:rsidR="00000000" w:rsidRPr="00B860E2" w:rsidP="00B860E2">
            <w:pPr>
              <w:pStyle w:val="ListBullet2"/>
            </w:pPr>
            <w:r w:rsidRPr="00B860E2">
              <w:t>liquid crystals</w:t>
            </w:r>
          </w:p>
          <w:p w:rsidR="00000000" w:rsidRPr="00B860E2" w:rsidP="00B860E2">
            <w:pPr>
              <w:pStyle w:val="ListBullet2"/>
            </w:pPr>
            <w:r w:rsidRPr="00B860E2">
              <w:t>thermometers: bimetallic and digital thermistor</w:t>
            </w:r>
          </w:p>
          <w:p w:rsidR="00000000" w:rsidRPr="00B860E2" w:rsidP="00B860E2">
            <w:pPr>
              <w:pStyle w:val="ListBullet"/>
            </w:pPr>
            <w:r w:rsidRPr="00B860E2">
              <w:t>problems in temperature measurement components and systems</w:t>
            </w:r>
          </w:p>
          <w:p w:rsidR="00000000" w:rsidRPr="00B860E2" w:rsidP="00B860E2">
            <w:pPr>
              <w:pStyle w:val="ListBullet"/>
            </w:pPr>
            <w:r w:rsidRPr="00B860E2">
              <w:t>radiation thermometers, including:</w:t>
            </w:r>
          </w:p>
          <w:p w:rsidR="00000000" w:rsidRPr="00B860E2" w:rsidP="00B860E2">
            <w:pPr>
              <w:pStyle w:val="ListBullet2"/>
            </w:pPr>
            <w:r w:rsidRPr="00B860E2">
              <w:t>operating principles, terms and factors affecting its use</w:t>
            </w:r>
          </w:p>
          <w:p w:rsidR="00000000" w:rsidRPr="00B860E2" w:rsidP="00B860E2">
            <w:pPr>
              <w:pStyle w:val="ListBullet2"/>
            </w:pPr>
            <w:r w:rsidRPr="00B860E2">
              <w:t>construction, signal conditioning, and calibration of optical pyrometers and radiation</w:t>
            </w:r>
          </w:p>
          <w:p w:rsidR="00000000" w:rsidRPr="00B860E2" w:rsidP="00B860E2">
            <w:pPr>
              <w:pStyle w:val="ListBullet"/>
            </w:pPr>
            <w:r w:rsidRPr="00B860E2">
              <w:t>relevant manufacturer specifications</w:t>
            </w:r>
          </w:p>
          <w:p w:rsidR="00000000" w:rsidRPr="00B860E2" w:rsidP="00B860E2">
            <w:pPr>
              <w:pStyle w:val="ListBullet"/>
            </w:pPr>
            <w:r w:rsidRPr="00B860E2">
              <w:t>relevant safe work method statements</w:t>
            </w:r>
            <w:r w:rsidRPr="00B860E2">
              <w:t xml:space="preserve"> (SWMS)/job safety assessments or risk mitigation processes, including risk control measures and safe working practices</w:t>
            </w:r>
          </w:p>
          <w:p w:rsidR="00000000" w:rsidRPr="00B860E2" w:rsidP="00B860E2">
            <w:pPr>
              <w:pStyle w:val="ListBullet"/>
            </w:pPr>
            <w:r w:rsidRPr="00B860E2">
              <w:t>relevant WHS/OHS legislated requirements</w:t>
            </w:r>
          </w:p>
          <w:p w:rsidR="00000000" w:rsidRPr="00B860E2" w:rsidP="00B860E2">
            <w:pPr>
              <w:pStyle w:val="ListBullet"/>
            </w:pPr>
            <w:r w:rsidRPr="00B860E2">
              <w:t>relevant workplace documentation</w:t>
            </w:r>
          </w:p>
          <w:p w:rsidR="00000000" w:rsidRPr="00B860E2" w:rsidP="00B860E2">
            <w:pPr>
              <w:pStyle w:val="ListBullet"/>
            </w:pPr>
            <w:r w:rsidRPr="00B860E2">
              <w:t>relevant workplace policies and procedures</w:t>
            </w:r>
          </w:p>
          <w:p w:rsidR="00000000" w:rsidRPr="00B860E2" w:rsidP="00B860E2">
            <w:pPr>
              <w:pStyle w:val="ListBullet"/>
            </w:pPr>
            <w:r w:rsidRPr="00B860E2">
              <w:t>resistance temperature detectors (RTDs) and RTD measuring circuits, including:</w:t>
            </w:r>
          </w:p>
          <w:p w:rsidR="00000000" w:rsidRPr="00B860E2" w:rsidP="00B860E2">
            <w:pPr>
              <w:pStyle w:val="ListBullet2"/>
            </w:pPr>
            <w:r w:rsidRPr="00B860E2">
              <w:t>calculating of unbalanced Wheatstone bridge circuits voltage outputs</w:t>
            </w:r>
          </w:p>
          <w:p w:rsidR="00000000" w:rsidRPr="00B860E2" w:rsidP="00B860E2">
            <w:pPr>
              <w:pStyle w:val="ListBullet2"/>
            </w:pPr>
            <w:r w:rsidRPr="00B860E2">
              <w:t>determining RTD standard resistance values or temperature</w:t>
            </w:r>
          </w:p>
          <w:p w:rsidR="00000000" w:rsidRPr="00B860E2" w:rsidP="00B860E2">
            <w:pPr>
              <w:pStyle w:val="ListBullet2"/>
            </w:pPr>
            <w:r w:rsidRPr="00B860E2">
              <w:t>non-linear voltage output compensation methods</w:t>
            </w:r>
          </w:p>
          <w:p w:rsidR="00000000" w:rsidRPr="00B860E2" w:rsidP="00B860E2">
            <w:pPr>
              <w:pStyle w:val="ListBullet2"/>
            </w:pPr>
            <w:r w:rsidRPr="00B860E2">
              <w:t>RT</w:t>
            </w:r>
            <w:r w:rsidRPr="00B860E2">
              <w:t>D lead-resistance compensation methods and immersion errors</w:t>
            </w:r>
          </w:p>
          <w:p w:rsidR="00000000" w:rsidRPr="00B860E2" w:rsidP="00B860E2">
            <w:pPr>
              <w:pStyle w:val="ListBullet2"/>
            </w:pPr>
            <w:r w:rsidRPr="00B860E2">
              <w:t>selecting RTD configurations and terms</w:t>
            </w:r>
          </w:p>
          <w:p w:rsidR="00000000" w:rsidRPr="00B860E2" w:rsidP="00B860E2">
            <w:pPr>
              <w:pStyle w:val="ListBullet"/>
            </w:pPr>
            <w:r w:rsidRPr="00B860E2">
              <w:t xml:space="preserve">sustainable energy principles and practices </w:t>
            </w:r>
          </w:p>
          <w:p w:rsidR="00000000" w:rsidRPr="00B860E2" w:rsidP="00B860E2">
            <w:pPr>
              <w:pStyle w:val="ListBullet"/>
            </w:pPr>
            <w:r w:rsidRPr="00B860E2">
              <w:t>temperature measurement principles, including:</w:t>
            </w:r>
          </w:p>
          <w:p w:rsidR="00000000" w:rsidRPr="00B860E2" w:rsidP="00B860E2">
            <w:pPr>
              <w:pStyle w:val="ListBullet2"/>
            </w:pPr>
            <w:r w:rsidRPr="00B860E2">
              <w:t xml:space="preserve"> terms and international temperature scales, temperature conver</w:t>
            </w:r>
            <w:r w:rsidRPr="00B860E2">
              <w:t>sions, measuring elements, sensor selection factors, errors in temperature measurement and methods used to reduce them</w:t>
            </w:r>
          </w:p>
          <w:p w:rsidR="00000000" w:rsidRPr="00B860E2" w:rsidP="00B860E2">
            <w:pPr>
              <w:pStyle w:val="ListBullet2"/>
            </w:pPr>
            <w:r w:rsidRPr="00B860E2">
              <w:t>types and applications of temperature transducers, connections, input/outputs (I/O), and measurement and evaluation</w:t>
            </w:r>
          </w:p>
          <w:p w:rsidR="00000000" w:rsidRPr="00B860E2" w:rsidP="00B860E2">
            <w:pPr>
              <w:pStyle w:val="ListBullet"/>
            </w:pPr>
            <w:r w:rsidRPr="00B860E2">
              <w:t>thermocouple measuri</w:t>
            </w:r>
            <w:r w:rsidRPr="00B860E2">
              <w:t xml:space="preserve">ng circuits, including: </w:t>
            </w:r>
          </w:p>
          <w:p w:rsidR="00000000" w:rsidRPr="00B860E2" w:rsidP="00B860E2">
            <w:pPr>
              <w:pStyle w:val="ListBullet2"/>
            </w:pPr>
            <w:r w:rsidRPr="00B860E2">
              <w:t xml:space="preserve">advantages and disadvantages and the characteristics of thermocouples and connection wires </w:t>
            </w:r>
          </w:p>
          <w:p w:rsidR="00000000" w:rsidRPr="00B860E2" w:rsidP="00B860E2">
            <w:pPr>
              <w:pStyle w:val="ListBullet2"/>
            </w:pPr>
            <w:r w:rsidRPr="00B860E2">
              <w:t>calibrating and determining thermocouple measuring instruments, test equipment and junction temperature configurations</w:t>
            </w:r>
          </w:p>
          <w:p w:rsidR="00000000" w:rsidRPr="00B860E2" w:rsidP="00B860E2">
            <w:pPr>
              <w:pStyle w:val="ListBullet2"/>
            </w:pPr>
            <w:r w:rsidRPr="00B860E2">
              <w:t>electromagnetic field distribution in thermocouple circuits</w:t>
            </w:r>
          </w:p>
          <w:p w:rsidR="00000000" w:rsidRPr="00B860E2" w:rsidP="00B860E2">
            <w:pPr>
              <w:pStyle w:val="ListBullet2"/>
            </w:pPr>
            <w:r w:rsidRPr="00B860E2">
              <w:t>handling and selection of thermocouples, including installation errors</w:t>
            </w:r>
          </w:p>
          <w:p w:rsidR="00000000" w:rsidRPr="00B860E2" w:rsidP="00B860E2">
            <w:pPr>
              <w:pStyle w:val="ListBullet2"/>
            </w:pPr>
            <w:r w:rsidRPr="00B860E2">
              <w:t>identification of thermocouple connection wires</w:t>
            </w:r>
          </w:p>
          <w:p w:rsidR="00000000" w:rsidRPr="00B860E2" w:rsidP="00B860E2">
            <w:pPr>
              <w:pStyle w:val="ListBullet2"/>
            </w:pPr>
            <w:r w:rsidRPr="00B860E2">
              <w:t>industrial thermocouple assembly and fabrication methods</w:t>
            </w:r>
          </w:p>
          <w:p w:rsidR="00000000" w:rsidRPr="00B860E2" w:rsidP="00B860E2">
            <w:pPr>
              <w:pStyle w:val="ListBullet2"/>
            </w:pPr>
            <w:r w:rsidRPr="00B860E2">
              <w:t>thermo-electric effe</w:t>
            </w:r>
            <w:r w:rsidRPr="00B860E2">
              <w:t>cts, principles and laws</w:t>
            </w:r>
          </w:p>
          <w:p w:rsidR="00000000" w:rsidRPr="00B860E2" w:rsidP="00B860E2">
            <w:pPr>
              <w:pStyle w:val="ListBullet2"/>
            </w:pPr>
            <w:r w:rsidRPr="00B860E2">
              <w:t>thermowell properties</w:t>
            </w:r>
          </w:p>
          <w:p w:rsidR="00000000" w:rsidRPr="00B860E2" w:rsidP="00B860E2">
            <w:pPr>
              <w:pStyle w:val="ListBullet"/>
            </w:pPr>
            <w:r w:rsidRPr="00B860E2">
              <w:t>relevant industry standards, regulations and codes.</w:t>
            </w:r>
          </w:p>
        </w:tc>
      </w:tr>
    </w:tbl>
    <w:p w:rsidR="00000000" w:rsidRPr="00B860E2" w:rsidP="00B860E2">
      <w:pPr>
        <w:pStyle w:val="NoPaddingFontSize1"/>
      </w:pPr>
    </w:p>
    <w:p w:rsidR="00000000" w:rsidRPr="00B860E2" w:rsidP="00B860E2">
      <w:pPr>
        <w:pStyle w:val="AllowPageBreak"/>
      </w:pPr>
    </w:p>
    <w:p w:rsidR="00000000" w:rsidRPr="00B860E2" w:rsidP="00B860E2">
      <w:pPr>
        <w:pStyle w:val="Heading1"/>
      </w:pPr>
      <w:bookmarkStart w:id="4" w:name="O_1083203"/>
      <w:bookmarkEnd w:id="4"/>
      <w:r w:rsidRPr="00B860E2">
        <w:t>Assessment Conditions</w:t>
      </w:r>
    </w:p>
    <w:tbl>
      <w:tblPr>
        <w:tblW w:w="9497" w:type="dxa"/>
        <w:tblLayout w:type="fixed"/>
        <w:tblCellMar>
          <w:left w:w="62" w:type="dxa"/>
          <w:right w:w="62" w:type="dxa"/>
        </w:tblCellMar>
        <w:tblLook w:val="0000"/>
      </w:tblPr>
      <w:tblGrid>
        <w:gridCol w:w="9497"/>
      </w:tblGrid>
      <w:tr w:rsidTr="00B860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60E2" w:rsidP="00B860E2">
            <w:pPr>
              <w:pStyle w:val="BodyText"/>
            </w:pPr>
            <w:r w:rsidRPr="00B860E2">
              <w:t xml:space="preserve">Assessors must hold credentials specified within the Standards for Registered Training Organisations current at the time of assessment. </w:t>
            </w:r>
          </w:p>
          <w:p w:rsidR="00000000" w:rsidRPr="00B860E2" w:rsidP="00B860E2">
            <w:pPr>
              <w:pStyle w:val="BodyText"/>
            </w:pPr>
            <w:r w:rsidRPr="00B860E2">
              <w:t>Assessment must satisfy the Principles of Assessment and Rules of Evidence and all regulatory requirements included wit</w:t>
            </w:r>
            <w:r w:rsidRPr="00B860E2">
              <w:t>hin the Standards for Registered Training Organisations current at the time of assessment.</w:t>
            </w:r>
          </w:p>
          <w:p w:rsidR="00000000" w:rsidRPr="00B860E2" w:rsidP="00B860E2">
            <w:pPr>
              <w:pStyle w:val="BodyText"/>
            </w:pPr>
            <w:r w:rsidRPr="00B860E2">
              <w:t>Assessment must occur in workplace operational situations where it is appropriate to do so; where this is not appropriate, assessment must occur in simulated workpla</w:t>
            </w:r>
            <w:r w:rsidRPr="00B860E2">
              <w:t>ce operational situations that replicate workplace conditions.</w:t>
            </w:r>
          </w:p>
          <w:p w:rsidR="00000000" w:rsidRPr="00B860E2" w:rsidP="00B860E2">
            <w:pPr>
              <w:pStyle w:val="BodyText"/>
            </w:pPr>
            <w:r w:rsidRPr="00B860E2">
              <w:t>Assessment processes and techniques must be appropriate to the language, literacy and numeracy requirements of the work being performed and the needs of the candidate.</w:t>
            </w:r>
          </w:p>
          <w:p w:rsidR="00000000" w:rsidRPr="00B860E2" w:rsidP="00B860E2">
            <w:pPr>
              <w:pStyle w:val="BodyText"/>
            </w:pPr>
            <w:r w:rsidRPr="00B860E2">
              <w:t xml:space="preserve">Resources for assessment </w:t>
            </w:r>
            <w:r w:rsidRPr="00B860E2">
              <w:t>must include access to:</w:t>
            </w:r>
          </w:p>
          <w:p w:rsidR="00000000" w:rsidRPr="00B860E2" w:rsidP="00B860E2">
            <w:pPr>
              <w:pStyle w:val="ListBullet"/>
            </w:pPr>
            <w:r w:rsidRPr="00B860E2">
              <w:t>a range of relevant exercises, case studies and/or other simulations</w:t>
            </w:r>
          </w:p>
          <w:p w:rsidR="00000000" w:rsidRPr="00B860E2" w:rsidP="00B860E2">
            <w:pPr>
              <w:pStyle w:val="ListBullet"/>
            </w:pPr>
            <w:r w:rsidRPr="00B860E2">
              <w:t xml:space="preserve">relevant and appropriate materials, tools, equipment and personal protective equipment (PPE) currently used in industry </w:t>
            </w:r>
          </w:p>
          <w:p w:rsidR="00000000" w:rsidRPr="00B860E2" w:rsidP="00B860E2">
            <w:pPr>
              <w:pStyle w:val="ListBullet"/>
            </w:pPr>
            <w:r w:rsidRPr="00B860E2">
              <w:t>applicable documentation, including workp</w:t>
            </w:r>
            <w:r w:rsidRPr="00B860E2">
              <w:t>lace procedures, equipment specifications, regulations, codes of practice and operation manuals.</w:t>
            </w:r>
          </w:p>
        </w:tc>
      </w:tr>
    </w:tbl>
    <w:p w:rsidR="00000000" w:rsidRPr="00B860E2" w:rsidP="00B860E2">
      <w:pPr>
        <w:pStyle w:val="NoPaddingFontSize1"/>
      </w:pPr>
    </w:p>
    <w:p w:rsidR="00000000" w:rsidRPr="00B860E2" w:rsidP="00B860E2">
      <w:pPr>
        <w:pStyle w:val="AllowPageBreak"/>
      </w:pPr>
    </w:p>
    <w:p w:rsidR="00000000" w:rsidRPr="00B860E2" w:rsidP="00B860E2">
      <w:pPr>
        <w:pStyle w:val="Heading1"/>
      </w:pPr>
      <w:bookmarkStart w:id="5" w:name="O_1083206"/>
      <w:bookmarkEnd w:id="5"/>
      <w:r w:rsidRPr="00B860E2">
        <w:t>Links</w:t>
      </w:r>
    </w:p>
    <w:p w:rsidR="00000000" w:rsidRPr="00B860E2" w:rsidP="004F3284">
      <w:pPr>
        <w:pStyle w:val="BodyText"/>
      </w:pPr>
      <w:r w:rsidRPr="00B860E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C5D48">
        <w:rPr>
          <w:rStyle w:val="Hyperlink"/>
        </w:rPr>
        <w:t>https://vetnet.gov.au/Pages/TrainingDocs.aspx?q=b8a8f136-5421-4ce1-92e0-2b50341431b6</w:t>
      </w:r>
      <w:r>
        <w:fldChar w:fldCharType="end"/>
      </w:r>
    </w:p>
    <w:p w:rsidR="00000000" w:rsidRPr="00B860E2" w:rsidP="00B860E2"/>
    <w:sectPr w:rsidSect="00B860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E2" w:rsidRPr="004F3284" w:rsidP="004F3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84" w:rsidP="00B86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284" w:rsidP="00B860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F3284" w:rsidP="00B860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0E2" w:rsidRPr="004F3284" w:rsidP="004F32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84" w:rsidRPr="002D2AF8" w:rsidP="00B860E2">
    <w:pPr>
      <w:pStyle w:val="Header"/>
      <w:framePr w:wrap="around"/>
    </w:pPr>
    <w:r>
      <w:fldChar w:fldCharType="begin"/>
    </w:r>
    <w:r>
      <w:instrText xml:space="preserve"> TITLE   \* MERGEFORMAT </w:instrText>
    </w:r>
    <w:r>
      <w:fldChar w:fldCharType="separate"/>
    </w:r>
    <w:r>
      <w:t>Assessment Requirements for UEEIC0043 Solve problems in temperature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F3284" w:rsidP="00B860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85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23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F64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0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0E2"/>
    <w:pPr>
      <w:spacing w:before="360" w:after="60"/>
      <w:outlineLvl w:val="0"/>
    </w:pPr>
    <w:rPr>
      <w:sz w:val="32"/>
    </w:rPr>
  </w:style>
  <w:style w:type="paragraph" w:styleId="Heading2">
    <w:name w:val="heading 2"/>
    <w:basedOn w:val="HeadingBase"/>
    <w:next w:val="BodyText"/>
    <w:link w:val="Heading2Char"/>
    <w:qFormat/>
    <w:rsid w:val="00B860E2"/>
    <w:pPr>
      <w:keepLines/>
      <w:spacing w:before="240" w:after="120"/>
      <w:outlineLvl w:val="1"/>
    </w:pPr>
    <w:rPr>
      <w:sz w:val="28"/>
      <w:szCs w:val="40"/>
    </w:rPr>
  </w:style>
  <w:style w:type="paragraph" w:styleId="Heading3">
    <w:name w:val="heading 3"/>
    <w:basedOn w:val="HeadingBase"/>
    <w:next w:val="BodyText"/>
    <w:link w:val="Heading3Char"/>
    <w:qFormat/>
    <w:rsid w:val="00B860E2"/>
    <w:pPr>
      <w:spacing w:before="180" w:after="120"/>
      <w:outlineLvl w:val="2"/>
    </w:pPr>
    <w:rPr>
      <w:spacing w:val="-10"/>
      <w:kern w:val="32"/>
    </w:rPr>
  </w:style>
  <w:style w:type="paragraph" w:styleId="Heading4">
    <w:name w:val="heading 4"/>
    <w:basedOn w:val="HeadingBase"/>
    <w:next w:val="BodyText"/>
    <w:link w:val="Heading4Char"/>
    <w:qFormat/>
    <w:rsid w:val="00B860E2"/>
    <w:pPr>
      <w:spacing w:before="160" w:after="120"/>
      <w:outlineLvl w:val="3"/>
    </w:pPr>
    <w:rPr>
      <w:sz w:val="22"/>
    </w:rPr>
  </w:style>
  <w:style w:type="paragraph" w:styleId="Heading5">
    <w:name w:val="heading 5"/>
    <w:basedOn w:val="HeadingBase"/>
    <w:next w:val="Normal"/>
    <w:link w:val="Heading5Char"/>
    <w:qFormat/>
    <w:rsid w:val="00B860E2"/>
    <w:pPr>
      <w:spacing w:before="80"/>
      <w:outlineLvl w:val="4"/>
    </w:pPr>
    <w:rPr>
      <w:color w:val="918585"/>
      <w:sz w:val="20"/>
    </w:rPr>
  </w:style>
  <w:style w:type="paragraph" w:styleId="Heading6">
    <w:name w:val="heading 6"/>
    <w:basedOn w:val="HeadingBase"/>
    <w:next w:val="Normal"/>
    <w:link w:val="Heading6Char"/>
    <w:qFormat/>
    <w:rsid w:val="00B860E2"/>
    <w:pPr>
      <w:spacing w:before="60"/>
      <w:outlineLvl w:val="5"/>
    </w:pPr>
    <w:rPr>
      <w:color w:val="918585"/>
      <w:sz w:val="20"/>
    </w:rPr>
  </w:style>
  <w:style w:type="paragraph" w:styleId="Heading7">
    <w:name w:val="heading 7"/>
    <w:basedOn w:val="Normal"/>
    <w:next w:val="Normal"/>
    <w:link w:val="Heading7Char"/>
    <w:qFormat/>
    <w:rsid w:val="00B860E2"/>
    <w:pPr>
      <w:ind w:left="720"/>
      <w:outlineLvl w:val="6"/>
    </w:pPr>
    <w:rPr>
      <w:i/>
    </w:rPr>
  </w:style>
  <w:style w:type="paragraph" w:styleId="Heading8">
    <w:name w:val="heading 8"/>
    <w:basedOn w:val="Normal"/>
    <w:next w:val="Normal"/>
    <w:link w:val="Heading8Char"/>
    <w:qFormat/>
    <w:rsid w:val="00B860E2"/>
    <w:pPr>
      <w:ind w:left="720"/>
      <w:outlineLvl w:val="7"/>
    </w:pPr>
    <w:rPr>
      <w:i/>
    </w:rPr>
  </w:style>
  <w:style w:type="paragraph" w:styleId="Heading9">
    <w:name w:val="heading 9"/>
    <w:basedOn w:val="Normal"/>
    <w:next w:val="Normal"/>
    <w:link w:val="Heading9Char"/>
    <w:qFormat/>
    <w:rsid w:val="00B860E2"/>
    <w:pPr>
      <w:ind w:left="720"/>
      <w:outlineLvl w:val="8"/>
    </w:pPr>
    <w:rPr>
      <w:i/>
    </w:rPr>
  </w:style>
  <w:style w:type="character" w:default="1" w:styleId="DefaultParagraphFont">
    <w:name w:val="Default Paragraph Font"/>
    <w:uiPriority w:val="1"/>
    <w:unhideWhenUsed/>
    <w:rsid w:val="00B86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0E2"/>
  </w:style>
  <w:style w:type="character" w:customStyle="1" w:styleId="Heading1Char">
    <w:name w:val="Heading 1 Char"/>
    <w:basedOn w:val="DefaultParagraphFont"/>
    <w:link w:val="Heading1"/>
    <w:rsid w:val="00B860E2"/>
    <w:rPr>
      <w:rFonts w:ascii="Times New Roman" w:eastAsia="Times New Roman" w:hAnsi="Times New Roman" w:cs="Times New Roman"/>
      <w:b/>
      <w:sz w:val="32"/>
      <w:szCs w:val="20"/>
      <w:lang w:eastAsia="en-US"/>
    </w:rPr>
  </w:style>
  <w:style w:type="paragraph" w:styleId="BodyText">
    <w:name w:val="Body Text"/>
    <w:basedOn w:val="Normal"/>
    <w:link w:val="BodyTextChar"/>
    <w:rsid w:val="00B860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0E2"/>
    <w:rPr>
      <w:rFonts w:ascii="Times New Roman" w:eastAsia="Times New Roman" w:hAnsi="Times New Roman" w:cs="Times New Roman"/>
      <w:sz w:val="24"/>
      <w:lang w:eastAsia="en-US"/>
    </w:rPr>
  </w:style>
  <w:style w:type="paragraph" w:styleId="ListBullet">
    <w:name w:val="List Bullet"/>
    <w:basedOn w:val="List"/>
    <w:rsid w:val="00B860E2"/>
    <w:pPr>
      <w:numPr>
        <w:numId w:val="12"/>
      </w:numPr>
      <w:tabs>
        <w:tab w:val="clear" w:pos="340"/>
      </w:tabs>
      <w:spacing w:before="40" w:after="40"/>
    </w:pPr>
  </w:style>
  <w:style w:type="paragraph" w:styleId="ListBullet2">
    <w:name w:val="List Bullet 2"/>
    <w:basedOn w:val="List2"/>
    <w:rsid w:val="00B860E2"/>
    <w:pPr>
      <w:numPr>
        <w:numId w:val="13"/>
      </w:numPr>
      <w:tabs>
        <w:tab w:val="clear" w:pos="680"/>
      </w:tabs>
    </w:pPr>
  </w:style>
  <w:style w:type="paragraph" w:customStyle="1" w:styleId="SuperHeading">
    <w:name w:val="SuperHeading"/>
    <w:basedOn w:val="Normal"/>
    <w:rsid w:val="00B860E2"/>
    <w:pPr>
      <w:spacing w:before="240" w:after="120"/>
      <w:outlineLvl w:val="0"/>
    </w:pPr>
    <w:rPr>
      <w:rFonts w:ascii="Times New Roman" w:hAnsi="Times New Roman"/>
      <w:b/>
      <w:sz w:val="32"/>
    </w:rPr>
  </w:style>
  <w:style w:type="paragraph" w:customStyle="1" w:styleId="AllowPageBreak">
    <w:name w:val="AllowPageBreak"/>
    <w:rsid w:val="00B860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6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0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0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0E2"/>
    <w:rPr>
      <w:rFonts w:ascii="Courier New" w:eastAsia="Times New Roman" w:hAnsi="Courier New" w:cs="Times New Roman"/>
      <w:i/>
      <w:szCs w:val="20"/>
      <w:lang w:eastAsia="en-US"/>
    </w:rPr>
  </w:style>
  <w:style w:type="paragraph" w:customStyle="1" w:styleId="HeadingBase">
    <w:name w:val="Heading Base"/>
    <w:rsid w:val="00B86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0E2"/>
    <w:pPr>
      <w:tabs>
        <w:tab w:val="right" w:leader="dot" w:pos="9072"/>
      </w:tabs>
      <w:ind w:left="567"/>
    </w:pPr>
    <w:rPr>
      <w:szCs w:val="22"/>
    </w:rPr>
  </w:style>
  <w:style w:type="paragraph" w:customStyle="1" w:styleId="TOCBase">
    <w:name w:val="TOC Base"/>
    <w:rsid w:val="00B86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0E2"/>
    <w:pPr>
      <w:tabs>
        <w:tab w:val="right" w:leader="dot" w:pos="9072"/>
      </w:tabs>
      <w:spacing w:before="40" w:after="40"/>
      <w:ind w:left="284"/>
    </w:pPr>
    <w:rPr>
      <w:rFonts w:ascii="Times New Roman" w:hAnsi="Times New Roman"/>
    </w:rPr>
  </w:style>
  <w:style w:type="paragraph" w:styleId="TOC1">
    <w:name w:val="toc 1"/>
    <w:basedOn w:val="TOCBase"/>
    <w:next w:val="Normal"/>
    <w:rsid w:val="00B860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0E2"/>
    <w:rPr>
      <w:rFonts w:ascii="Times New Roman" w:eastAsia="Times New Roman" w:hAnsi="Times New Roman" w:cs="Times New Roman"/>
      <w:sz w:val="16"/>
      <w:lang w:eastAsia="en-US"/>
    </w:rPr>
  </w:style>
  <w:style w:type="paragraph" w:styleId="Title">
    <w:name w:val="Title"/>
    <w:basedOn w:val="HeadingBase"/>
    <w:link w:val="TitleChar"/>
    <w:qFormat/>
    <w:rsid w:val="00B860E2"/>
    <w:pPr>
      <w:spacing w:before="5040"/>
      <w:jc w:val="center"/>
    </w:pPr>
    <w:rPr>
      <w:sz w:val="48"/>
      <w:szCs w:val="72"/>
      <w:lang w:val="en-US"/>
    </w:rPr>
  </w:style>
  <w:style w:type="character" w:customStyle="1" w:styleId="TitleChar">
    <w:name w:val="Title Char"/>
    <w:basedOn w:val="DefaultParagraphFont"/>
    <w:link w:val="Title"/>
    <w:rsid w:val="00B86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0E2"/>
    <w:pPr>
      <w:tabs>
        <w:tab w:val="left" w:pos="3600"/>
        <w:tab w:val="left" w:pos="3958"/>
      </w:tabs>
    </w:pPr>
  </w:style>
  <w:style w:type="paragraph" w:styleId="List">
    <w:name w:val="List"/>
    <w:basedOn w:val="BodyText"/>
    <w:next w:val="BodyText"/>
    <w:rsid w:val="00B860E2"/>
    <w:pPr>
      <w:tabs>
        <w:tab w:val="left" w:pos="340"/>
      </w:tabs>
      <w:spacing w:before="60" w:after="60"/>
      <w:ind w:left="340" w:hanging="340"/>
    </w:pPr>
  </w:style>
  <w:style w:type="paragraph" w:customStyle="1" w:styleId="Note">
    <w:name w:val="Note"/>
    <w:basedOn w:val="BodyText"/>
    <w:rsid w:val="00B860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60E2"/>
    <w:rPr>
      <w:b/>
      <w:spacing w:val="0"/>
    </w:rPr>
  </w:style>
  <w:style w:type="paragraph" w:customStyle="1" w:styleId="SuperTitle">
    <w:name w:val="SuperTitle"/>
    <w:basedOn w:val="Title"/>
    <w:rsid w:val="00B860E2"/>
    <w:pPr>
      <w:framePr w:wrap="auto" w:hAnchor="text" w:y="6049"/>
    </w:pPr>
    <w:rPr>
      <w:color w:val="000000"/>
      <w:sz w:val="40"/>
    </w:rPr>
  </w:style>
  <w:style w:type="paragraph" w:customStyle="1" w:styleId="TOCTitle">
    <w:name w:val="TOCTitle"/>
    <w:basedOn w:val="Heading1"/>
    <w:rsid w:val="00B860E2"/>
    <w:pPr>
      <w:spacing w:after="240"/>
      <w:jc w:val="center"/>
      <w:outlineLvl w:val="9"/>
    </w:pPr>
    <w:rPr>
      <w:caps/>
    </w:rPr>
  </w:style>
  <w:style w:type="paragraph" w:customStyle="1" w:styleId="Version">
    <w:name w:val="Version"/>
    <w:rsid w:val="00B86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0E2"/>
    <w:pPr>
      <w:keepNext w:val="0"/>
      <w:tabs>
        <w:tab w:val="right" w:pos="4176"/>
      </w:tabs>
      <w:ind w:left="198" w:hanging="198"/>
    </w:pPr>
    <w:rPr>
      <w:rFonts w:ascii="Garamond" w:hAnsi="Garamond"/>
    </w:rPr>
  </w:style>
  <w:style w:type="paragraph" w:styleId="IndexHeading">
    <w:name w:val="index heading"/>
    <w:basedOn w:val="Normal"/>
    <w:next w:val="Index1"/>
    <w:semiHidden/>
    <w:rsid w:val="00B860E2"/>
    <w:pPr>
      <w:spacing w:before="120" w:after="120"/>
    </w:pPr>
    <w:rPr>
      <w:rFonts w:ascii="Arial" w:hAnsi="Arial"/>
      <w:b/>
      <w:color w:val="918585"/>
      <w:sz w:val="24"/>
    </w:rPr>
  </w:style>
  <w:style w:type="paragraph" w:styleId="Header">
    <w:name w:val="header"/>
    <w:basedOn w:val="Normal"/>
    <w:link w:val="HeaderChar"/>
    <w:rsid w:val="00B86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0E2"/>
    <w:rPr>
      <w:rFonts w:ascii="Times New Roman" w:eastAsia="Times New Roman" w:hAnsi="Times New Roman" w:cs="Times New Roman"/>
      <w:sz w:val="16"/>
      <w:szCs w:val="20"/>
      <w:lang w:val="en-GB" w:eastAsia="en-US"/>
    </w:rPr>
  </w:style>
  <w:style w:type="paragraph" w:customStyle="1" w:styleId="Chapter">
    <w:name w:val="Chapter"/>
    <w:basedOn w:val="Normal"/>
    <w:rsid w:val="00B860E2"/>
    <w:pPr>
      <w:spacing w:before="240"/>
    </w:pPr>
    <w:rPr>
      <w:rFonts w:ascii="Times New Roman" w:hAnsi="Times New Roman"/>
      <w:smallCaps/>
      <w:spacing w:val="80"/>
      <w:sz w:val="28"/>
    </w:rPr>
  </w:style>
  <w:style w:type="paragraph" w:customStyle="1" w:styleId="InChapter">
    <w:name w:val="InChapter"/>
    <w:basedOn w:val="Heading3"/>
    <w:rsid w:val="00B860E2"/>
    <w:pPr>
      <w:spacing w:after="240"/>
      <w:outlineLvl w:val="9"/>
    </w:pPr>
    <w:rPr>
      <w:noProof/>
    </w:rPr>
  </w:style>
  <w:style w:type="paragraph" w:styleId="Index2">
    <w:name w:val="index 2"/>
    <w:basedOn w:val="Normal"/>
    <w:next w:val="Normal"/>
    <w:semiHidden/>
    <w:rsid w:val="00B860E2"/>
    <w:pPr>
      <w:tabs>
        <w:tab w:val="right" w:pos="4176"/>
      </w:tabs>
      <w:ind w:left="568" w:hanging="284"/>
    </w:pPr>
    <w:rPr>
      <w:rFonts w:ascii="Garamond" w:hAnsi="Garamond"/>
    </w:rPr>
  </w:style>
  <w:style w:type="paragraph" w:customStyle="1" w:styleId="Byline">
    <w:name w:val="Byline"/>
    <w:rsid w:val="00B86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0E2"/>
    <w:pPr>
      <w:tabs>
        <w:tab w:val="clear" w:pos="3600"/>
        <w:tab w:val="clear" w:pos="3958"/>
      </w:tabs>
      <w:jc w:val="right"/>
    </w:pPr>
  </w:style>
  <w:style w:type="character" w:styleId="Emphasis">
    <w:name w:val="Emphasis"/>
    <w:basedOn w:val="DefaultParagraphFont"/>
    <w:qFormat/>
    <w:rsid w:val="00B860E2"/>
    <w:rPr>
      <w:i/>
    </w:rPr>
  </w:style>
  <w:style w:type="paragraph" w:styleId="Caption">
    <w:name w:val="caption"/>
    <w:basedOn w:val="BodyText"/>
    <w:next w:val="Normal"/>
    <w:qFormat/>
    <w:rsid w:val="00B860E2"/>
    <w:pPr>
      <w:framePr w:w="2268" w:hSpace="181" w:vSpace="181" w:wrap="around" w:vAnchor="text" w:hAnchor="page" w:x="1135" w:y="285" w:anchorLock="1"/>
    </w:pPr>
    <w:rPr>
      <w:i/>
    </w:rPr>
  </w:style>
  <w:style w:type="paragraph" w:customStyle="1" w:styleId="MiniTOCTitle">
    <w:name w:val="MiniTOCTitle"/>
    <w:basedOn w:val="Heading4"/>
    <w:rsid w:val="00B860E2"/>
    <w:pPr>
      <w:spacing w:before="240"/>
      <w:outlineLvl w:val="9"/>
    </w:pPr>
    <w:rPr>
      <w:noProof/>
      <w:sz w:val="24"/>
    </w:rPr>
  </w:style>
  <w:style w:type="paragraph" w:customStyle="1" w:styleId="MiniTOCItem">
    <w:name w:val="MiniTOCItem"/>
    <w:basedOn w:val="ListBullet"/>
    <w:rsid w:val="00B860E2"/>
    <w:pPr>
      <w:numPr>
        <w:numId w:val="0"/>
      </w:numPr>
      <w:tabs>
        <w:tab w:val="right" w:leader="dot" w:pos="6521"/>
      </w:tabs>
      <w:spacing w:before="0" w:after="0"/>
    </w:pPr>
  </w:style>
  <w:style w:type="paragraph" w:customStyle="1" w:styleId="TOFTitle">
    <w:name w:val="TOFTitle"/>
    <w:basedOn w:val="TOCTitle"/>
    <w:rsid w:val="00B860E2"/>
  </w:style>
  <w:style w:type="paragraph" w:styleId="TableofFigures">
    <w:name w:val="table of figures"/>
    <w:basedOn w:val="Normal"/>
    <w:next w:val="Normal"/>
    <w:semiHidden/>
    <w:rsid w:val="00B860E2"/>
    <w:pPr>
      <w:tabs>
        <w:tab w:val="right" w:leader="dot" w:pos="9072"/>
      </w:tabs>
      <w:ind w:left="970" w:hanging="403"/>
    </w:pPr>
    <w:rPr>
      <w:rFonts w:ascii="Times New Roman" w:hAnsi="Times New Roman"/>
      <w:b/>
    </w:rPr>
  </w:style>
  <w:style w:type="paragraph" w:styleId="ListNumber">
    <w:name w:val="List Number"/>
    <w:basedOn w:val="List"/>
    <w:rsid w:val="00B860E2"/>
    <w:pPr>
      <w:numPr>
        <w:numId w:val="15"/>
      </w:numPr>
      <w:tabs>
        <w:tab w:val="clear" w:pos="340"/>
      </w:tabs>
    </w:pPr>
  </w:style>
  <w:style w:type="character" w:customStyle="1" w:styleId="WingdingSymbols">
    <w:name w:val="Wingding Symbols"/>
    <w:rsid w:val="00B860E2"/>
    <w:rPr>
      <w:rFonts w:ascii="Wingdings" w:hAnsi="Wingdings"/>
    </w:rPr>
  </w:style>
  <w:style w:type="paragraph" w:customStyle="1" w:styleId="TableHeading">
    <w:name w:val="Table Heading"/>
    <w:basedOn w:val="HeadingBase"/>
    <w:rsid w:val="00B860E2"/>
    <w:pPr>
      <w:keepLines/>
      <w:pBdr>
        <w:bottom w:val="single" w:sz="6" w:space="1" w:color="918585"/>
      </w:pBdr>
      <w:spacing w:before="240"/>
    </w:pPr>
  </w:style>
  <w:style w:type="character" w:customStyle="1" w:styleId="HotSpot">
    <w:name w:val="HotSpot"/>
    <w:rsid w:val="00B860E2"/>
    <w:rPr>
      <w:color w:val="0033CC"/>
      <w:u w:val="none"/>
    </w:rPr>
  </w:style>
  <w:style w:type="paragraph" w:customStyle="1" w:styleId="BodyTextRight">
    <w:name w:val="Body Text Right"/>
    <w:basedOn w:val="BodyText"/>
    <w:rsid w:val="00B860E2"/>
    <w:pPr>
      <w:spacing w:before="0" w:after="0"/>
      <w:jc w:val="right"/>
    </w:pPr>
  </w:style>
  <w:style w:type="paragraph" w:styleId="Index3">
    <w:name w:val="index 3"/>
    <w:basedOn w:val="ListNumber2"/>
    <w:next w:val="Normal"/>
    <w:semiHidden/>
    <w:rsid w:val="00B860E2"/>
    <w:pPr>
      <w:numPr>
        <w:numId w:val="0"/>
      </w:numPr>
      <w:tabs>
        <w:tab w:val="right" w:leader="dot" w:pos="4176"/>
      </w:tabs>
    </w:pPr>
  </w:style>
  <w:style w:type="paragraph" w:styleId="ListNumber2">
    <w:name w:val="List Number 2"/>
    <w:basedOn w:val="List2"/>
    <w:rsid w:val="00B860E2"/>
    <w:pPr>
      <w:numPr>
        <w:numId w:val="10"/>
      </w:numPr>
      <w:tabs>
        <w:tab w:val="clear" w:pos="1060"/>
      </w:tabs>
    </w:pPr>
  </w:style>
  <w:style w:type="paragraph" w:customStyle="1" w:styleId="MarginNote">
    <w:name w:val="Margin Note"/>
    <w:basedOn w:val="BodyText"/>
    <w:rsid w:val="00B86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0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0E2"/>
    <w:rPr>
      <w:sz w:val="32"/>
    </w:rPr>
  </w:style>
  <w:style w:type="paragraph" w:customStyle="1" w:styleId="HeadingProcedure">
    <w:name w:val="Heading Procedure"/>
    <w:basedOn w:val="HeadingBase"/>
    <w:next w:val="Normal"/>
    <w:rsid w:val="00B860E2"/>
    <w:pPr>
      <w:tabs>
        <w:tab w:val="left" w:pos="0"/>
      </w:tabs>
      <w:spacing w:before="120" w:after="60"/>
    </w:pPr>
    <w:rPr>
      <w:i/>
      <w:color w:val="918585"/>
      <w:sz w:val="22"/>
    </w:rPr>
  </w:style>
  <w:style w:type="paragraph" w:customStyle="1" w:styleId="TableBodyText">
    <w:name w:val="Table Body Text"/>
    <w:basedOn w:val="BodyText"/>
    <w:rsid w:val="00B860E2"/>
    <w:pPr>
      <w:spacing w:before="60" w:after="60"/>
    </w:pPr>
  </w:style>
  <w:style w:type="paragraph" w:styleId="ListContinue">
    <w:name w:val="List Continue"/>
    <w:basedOn w:val="List"/>
    <w:rsid w:val="00B860E2"/>
    <w:pPr>
      <w:ind w:firstLine="0"/>
    </w:pPr>
  </w:style>
  <w:style w:type="paragraph" w:customStyle="1" w:styleId="ListNote">
    <w:name w:val="List Note"/>
    <w:basedOn w:val="List"/>
    <w:rsid w:val="00B860E2"/>
    <w:pPr>
      <w:pBdr>
        <w:top w:val="single" w:sz="6" w:space="2" w:color="918585"/>
        <w:bottom w:val="single" w:sz="6" w:space="2" w:color="918585"/>
      </w:pBdr>
      <w:tabs>
        <w:tab w:val="left" w:pos="1021"/>
      </w:tabs>
      <w:ind w:firstLine="0"/>
    </w:pPr>
  </w:style>
  <w:style w:type="paragraph" w:customStyle="1" w:styleId="Warning">
    <w:name w:val="Warning"/>
    <w:basedOn w:val="BodyText"/>
    <w:rsid w:val="00B860E2"/>
    <w:pPr>
      <w:shd w:val="clear" w:color="auto" w:fill="D9D9D9"/>
      <w:tabs>
        <w:tab w:val="left" w:pos="992"/>
      </w:tabs>
      <w:ind w:left="119" w:right="119"/>
    </w:pPr>
    <w:rPr>
      <w:sz w:val="20"/>
    </w:rPr>
  </w:style>
  <w:style w:type="paragraph" w:customStyle="1" w:styleId="MarginIcons">
    <w:name w:val="Margin Icons"/>
    <w:basedOn w:val="BodyText"/>
    <w:rsid w:val="00B86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0E2"/>
    <w:rPr>
      <w:rFonts w:ascii="Courier New" w:hAnsi="Courier New"/>
    </w:rPr>
  </w:style>
  <w:style w:type="paragraph" w:customStyle="1" w:styleId="NoteBullet">
    <w:name w:val="Note Bullet"/>
    <w:basedOn w:val="Note"/>
    <w:rsid w:val="00B860E2"/>
    <w:pPr>
      <w:tabs>
        <w:tab w:val="clear" w:pos="680"/>
      </w:tabs>
      <w:spacing w:before="60" w:after="60"/>
    </w:pPr>
  </w:style>
  <w:style w:type="paragraph" w:customStyle="1" w:styleId="SubHeading2">
    <w:name w:val="SubHeading2"/>
    <w:basedOn w:val="HeadingBase"/>
    <w:rsid w:val="00B860E2"/>
    <w:pPr>
      <w:spacing w:before="240" w:after="60"/>
    </w:pPr>
    <w:rPr>
      <w:sz w:val="20"/>
    </w:rPr>
  </w:style>
  <w:style w:type="paragraph" w:customStyle="1" w:styleId="SubHeading1">
    <w:name w:val="SubHeading1"/>
    <w:basedOn w:val="HeadingBase"/>
    <w:rsid w:val="00B860E2"/>
    <w:pPr>
      <w:spacing w:before="240" w:after="60"/>
    </w:pPr>
    <w:rPr>
      <w:color w:val="918585"/>
      <w:sz w:val="22"/>
    </w:rPr>
  </w:style>
  <w:style w:type="paragraph" w:customStyle="1" w:styleId="SideHeading">
    <w:name w:val="Side Heading"/>
    <w:basedOn w:val="HeadingBase"/>
    <w:rsid w:val="00B86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0E2"/>
    <w:pPr>
      <w:tabs>
        <w:tab w:val="num" w:pos="360"/>
      </w:tabs>
    </w:pPr>
  </w:style>
  <w:style w:type="paragraph" w:styleId="PlainText">
    <w:name w:val="Plain Text"/>
    <w:basedOn w:val="Normal"/>
    <w:link w:val="PlainTextChar"/>
    <w:rsid w:val="00B860E2"/>
    <w:rPr>
      <w:sz w:val="20"/>
    </w:rPr>
  </w:style>
  <w:style w:type="character" w:customStyle="1" w:styleId="PlainTextChar">
    <w:name w:val="Plain Text Char"/>
    <w:basedOn w:val="DefaultParagraphFont"/>
    <w:link w:val="PlainText"/>
    <w:rsid w:val="00B860E2"/>
    <w:rPr>
      <w:rFonts w:ascii="Courier New" w:eastAsia="Times New Roman" w:hAnsi="Courier New" w:cs="Times New Roman"/>
      <w:sz w:val="20"/>
      <w:szCs w:val="20"/>
      <w:lang w:eastAsia="en-US"/>
    </w:rPr>
  </w:style>
  <w:style w:type="character" w:customStyle="1" w:styleId="MenuOption">
    <w:name w:val="Menu Option"/>
    <w:basedOn w:val="DefaultParagraphFont"/>
    <w:rsid w:val="00B860E2"/>
    <w:rPr>
      <w:b/>
      <w:smallCaps/>
    </w:rPr>
  </w:style>
  <w:style w:type="paragraph" w:customStyle="1" w:styleId="TableListNumber">
    <w:name w:val="Table List Number"/>
    <w:basedOn w:val="ListNumber"/>
    <w:rsid w:val="00B860E2"/>
    <w:pPr>
      <w:numPr>
        <w:numId w:val="0"/>
      </w:numPr>
    </w:pPr>
  </w:style>
  <w:style w:type="paragraph" w:styleId="TOC4">
    <w:name w:val="toc 4"/>
    <w:basedOn w:val="TOCBase"/>
    <w:next w:val="Normal"/>
    <w:semiHidden/>
    <w:rsid w:val="00B860E2"/>
    <w:pPr>
      <w:tabs>
        <w:tab w:val="right" w:leader="dot" w:pos="9071"/>
      </w:tabs>
      <w:ind w:left="1701"/>
    </w:pPr>
  </w:style>
  <w:style w:type="paragraph" w:customStyle="1" w:styleId="ListAlpha">
    <w:name w:val="List Alpha"/>
    <w:basedOn w:val="List"/>
    <w:rsid w:val="00B860E2"/>
    <w:pPr>
      <w:numPr>
        <w:numId w:val="9"/>
      </w:numPr>
    </w:pPr>
  </w:style>
  <w:style w:type="paragraph" w:customStyle="1" w:styleId="ListAlpha2">
    <w:name w:val="List Alpha 2"/>
    <w:basedOn w:val="List2"/>
    <w:rsid w:val="00B860E2"/>
    <w:pPr>
      <w:numPr>
        <w:numId w:val="8"/>
      </w:numPr>
    </w:pPr>
  </w:style>
  <w:style w:type="paragraph" w:styleId="List2">
    <w:name w:val="List 2"/>
    <w:basedOn w:val="BodyText"/>
    <w:rsid w:val="00B860E2"/>
    <w:pPr>
      <w:tabs>
        <w:tab w:val="left" w:pos="680"/>
      </w:tabs>
      <w:spacing w:before="60" w:after="60"/>
      <w:ind w:left="680" w:hanging="340"/>
    </w:pPr>
  </w:style>
  <w:style w:type="paragraph" w:styleId="List3">
    <w:name w:val="List 3"/>
    <w:basedOn w:val="BodyText"/>
    <w:rsid w:val="00B860E2"/>
    <w:pPr>
      <w:tabs>
        <w:tab w:val="left" w:pos="1021"/>
      </w:tabs>
      <w:spacing w:before="60" w:after="60"/>
      <w:ind w:left="1020" w:hanging="340"/>
    </w:pPr>
  </w:style>
  <w:style w:type="paragraph" w:styleId="List4">
    <w:name w:val="List 4"/>
    <w:basedOn w:val="BodyText"/>
    <w:rsid w:val="00B860E2"/>
    <w:pPr>
      <w:tabs>
        <w:tab w:val="left" w:pos="1361"/>
      </w:tabs>
      <w:spacing w:before="60" w:after="60"/>
      <w:ind w:left="1361" w:hanging="340"/>
    </w:pPr>
  </w:style>
  <w:style w:type="paragraph" w:styleId="List5">
    <w:name w:val="List 5"/>
    <w:basedOn w:val="BodyText"/>
    <w:rsid w:val="00B860E2"/>
    <w:pPr>
      <w:tabs>
        <w:tab w:val="left" w:pos="1701"/>
      </w:tabs>
      <w:spacing w:before="60" w:after="60"/>
      <w:ind w:left="1701" w:hanging="340"/>
    </w:pPr>
  </w:style>
  <w:style w:type="paragraph" w:styleId="ListBullet3">
    <w:name w:val="List Bullet 3"/>
    <w:basedOn w:val="List3"/>
    <w:rsid w:val="00B860E2"/>
    <w:pPr>
      <w:numPr>
        <w:numId w:val="14"/>
      </w:numPr>
      <w:tabs>
        <w:tab w:val="clear" w:pos="1021"/>
      </w:tabs>
      <w:ind w:left="1037" w:hanging="357"/>
    </w:pPr>
  </w:style>
  <w:style w:type="paragraph" w:styleId="ListBullet4">
    <w:name w:val="List Bullet 4"/>
    <w:basedOn w:val="List4"/>
    <w:rsid w:val="00B860E2"/>
    <w:pPr>
      <w:numPr>
        <w:numId w:val="3"/>
      </w:numPr>
      <w:tabs>
        <w:tab w:val="clear" w:pos="1361"/>
      </w:tabs>
    </w:pPr>
  </w:style>
  <w:style w:type="paragraph" w:styleId="ListBullet5">
    <w:name w:val="List Bullet 5"/>
    <w:basedOn w:val="List5"/>
    <w:rsid w:val="00B860E2"/>
    <w:pPr>
      <w:numPr>
        <w:numId w:val="4"/>
      </w:numPr>
    </w:pPr>
  </w:style>
  <w:style w:type="paragraph" w:styleId="ListContinue2">
    <w:name w:val="List Continue 2"/>
    <w:basedOn w:val="List2"/>
    <w:rsid w:val="00B860E2"/>
    <w:pPr>
      <w:ind w:firstLine="0"/>
    </w:pPr>
  </w:style>
  <w:style w:type="paragraph" w:styleId="ListContinue3">
    <w:name w:val="List Continue 3"/>
    <w:basedOn w:val="List3"/>
    <w:rsid w:val="00B860E2"/>
    <w:pPr>
      <w:ind w:left="1021" w:firstLine="0"/>
    </w:pPr>
  </w:style>
  <w:style w:type="paragraph" w:styleId="ListContinue4">
    <w:name w:val="List Continue 4"/>
    <w:basedOn w:val="List4"/>
    <w:rsid w:val="00B860E2"/>
    <w:pPr>
      <w:ind w:firstLine="0"/>
    </w:pPr>
  </w:style>
  <w:style w:type="paragraph" w:styleId="ListContinue5">
    <w:name w:val="List Continue 5"/>
    <w:basedOn w:val="List5"/>
    <w:rsid w:val="00B860E2"/>
    <w:pPr>
      <w:ind w:firstLine="0"/>
    </w:pPr>
  </w:style>
  <w:style w:type="paragraph" w:styleId="ListNumber3">
    <w:name w:val="List Number 3"/>
    <w:basedOn w:val="List3"/>
    <w:rsid w:val="00B860E2"/>
    <w:pPr>
      <w:numPr>
        <w:numId w:val="5"/>
      </w:numPr>
    </w:pPr>
  </w:style>
  <w:style w:type="paragraph" w:styleId="ListNumber4">
    <w:name w:val="List Number 4"/>
    <w:basedOn w:val="List4"/>
    <w:rsid w:val="00B860E2"/>
    <w:pPr>
      <w:numPr>
        <w:numId w:val="6"/>
      </w:numPr>
    </w:pPr>
  </w:style>
  <w:style w:type="paragraph" w:styleId="ListNumber5">
    <w:name w:val="List Number 5"/>
    <w:basedOn w:val="List5"/>
    <w:rsid w:val="00B860E2"/>
    <w:pPr>
      <w:numPr>
        <w:numId w:val="7"/>
      </w:numPr>
    </w:pPr>
  </w:style>
  <w:style w:type="paragraph" w:styleId="BlockText">
    <w:name w:val="Block Text"/>
    <w:basedOn w:val="Normal"/>
    <w:rsid w:val="00B860E2"/>
    <w:pPr>
      <w:spacing w:after="120"/>
      <w:ind w:left="1440" w:right="1440"/>
    </w:pPr>
  </w:style>
  <w:style w:type="character" w:customStyle="1" w:styleId="Subscript">
    <w:name w:val="Subscript"/>
    <w:basedOn w:val="DefaultParagraphFont"/>
    <w:rsid w:val="00B860E2"/>
    <w:rPr>
      <w:sz w:val="16"/>
      <w:vertAlign w:val="subscript"/>
    </w:rPr>
  </w:style>
  <w:style w:type="character" w:customStyle="1" w:styleId="Superscript">
    <w:name w:val="Superscript"/>
    <w:basedOn w:val="DefaultParagraphFont"/>
    <w:rsid w:val="00B860E2"/>
    <w:rPr>
      <w:sz w:val="16"/>
      <w:vertAlign w:val="superscript"/>
    </w:rPr>
  </w:style>
  <w:style w:type="character" w:customStyle="1" w:styleId="Symbols">
    <w:name w:val="Symbols"/>
    <w:basedOn w:val="DefaultParagraphFont"/>
    <w:rsid w:val="00B860E2"/>
    <w:rPr>
      <w:rFonts w:ascii="Symbol" w:hAnsi="Symbol"/>
    </w:rPr>
  </w:style>
  <w:style w:type="character" w:customStyle="1" w:styleId="MenuOptions">
    <w:name w:val="Menu Options"/>
    <w:basedOn w:val="DefaultParagraphFont"/>
    <w:rsid w:val="00B860E2"/>
    <w:rPr>
      <w:rFonts w:ascii="Arial Narrow" w:hAnsi="Arial Narrow"/>
      <w:smallCaps/>
    </w:rPr>
  </w:style>
  <w:style w:type="character" w:customStyle="1" w:styleId="Buttons">
    <w:name w:val="Buttons"/>
    <w:basedOn w:val="DefaultParagraphFont"/>
    <w:rsid w:val="00B860E2"/>
    <w:rPr>
      <w:b/>
    </w:rPr>
  </w:style>
  <w:style w:type="character" w:customStyle="1" w:styleId="Underlined">
    <w:name w:val="Underlined"/>
    <w:basedOn w:val="DefaultParagraphFont"/>
    <w:rsid w:val="00B860E2"/>
    <w:rPr>
      <w:u w:val="single"/>
    </w:rPr>
  </w:style>
  <w:style w:type="paragraph" w:customStyle="1" w:styleId="TableBodyTextRight">
    <w:name w:val="Table Body Text Right"/>
    <w:basedOn w:val="TableBodyText"/>
    <w:rsid w:val="00B860E2"/>
    <w:pPr>
      <w:widowControl w:val="0"/>
      <w:autoSpaceDE w:val="0"/>
      <w:autoSpaceDN w:val="0"/>
      <w:adjustRightInd w:val="0"/>
      <w:jc w:val="right"/>
    </w:pPr>
    <w:rPr>
      <w:rFonts w:cs="Arial"/>
      <w:szCs w:val="18"/>
    </w:rPr>
  </w:style>
  <w:style w:type="paragraph" w:customStyle="1" w:styleId="CopyrightText">
    <w:name w:val="Copyright Text"/>
    <w:basedOn w:val="BodyText"/>
    <w:rsid w:val="00B860E2"/>
    <w:rPr>
      <w:sz w:val="18"/>
    </w:rPr>
  </w:style>
  <w:style w:type="paragraph" w:customStyle="1" w:styleId="BodySmallRight">
    <w:name w:val="Body Small Right"/>
    <w:basedOn w:val="BodyTextRight"/>
    <w:rsid w:val="00B860E2"/>
    <w:rPr>
      <w:sz w:val="18"/>
      <w:szCs w:val="18"/>
    </w:rPr>
  </w:style>
  <w:style w:type="paragraph" w:customStyle="1" w:styleId="MarginEdition">
    <w:name w:val="Margin Edition"/>
    <w:basedOn w:val="MarginNote"/>
    <w:rsid w:val="00B860E2"/>
    <w:pPr>
      <w:spacing w:before="0" w:after="0"/>
    </w:pPr>
    <w:rPr>
      <w:rFonts w:ascii="Times New Roman" w:hAnsi="Times New Roman"/>
      <w:color w:val="999999"/>
    </w:rPr>
  </w:style>
  <w:style w:type="paragraph" w:customStyle="1" w:styleId="Spacer">
    <w:name w:val="Spacer"/>
    <w:basedOn w:val="Normal"/>
    <w:rsid w:val="00B860E2"/>
    <w:rPr>
      <w:sz w:val="2"/>
      <w:szCs w:val="2"/>
    </w:rPr>
  </w:style>
  <w:style w:type="character" w:customStyle="1" w:styleId="Small">
    <w:name w:val="Small"/>
    <w:basedOn w:val="DefaultParagraphFont"/>
    <w:rsid w:val="00B860E2"/>
    <w:rPr>
      <w:sz w:val="16"/>
    </w:rPr>
  </w:style>
  <w:style w:type="paragraph" w:customStyle="1" w:styleId="WideTable">
    <w:name w:val="Wide Table"/>
    <w:basedOn w:val="Normal"/>
    <w:rsid w:val="00B860E2"/>
    <w:pPr>
      <w:ind w:left="-1418"/>
    </w:pPr>
    <w:rPr>
      <w:sz w:val="2"/>
      <w:szCs w:val="2"/>
    </w:rPr>
  </w:style>
  <w:style w:type="character" w:styleId="PageNumber">
    <w:name w:val="page number"/>
    <w:basedOn w:val="DefaultParagraphFont"/>
    <w:rsid w:val="00B860E2"/>
  </w:style>
  <w:style w:type="paragraph" w:styleId="Quote">
    <w:name w:val="Quote"/>
    <w:basedOn w:val="Heading1"/>
    <w:link w:val="QuoteChar"/>
    <w:qFormat/>
    <w:rsid w:val="00B860E2"/>
    <w:rPr>
      <w:b w:val="0"/>
      <w:sz w:val="72"/>
      <w:szCs w:val="72"/>
      <w:lang w:val="en-NZ"/>
    </w:rPr>
  </w:style>
  <w:style w:type="character" w:customStyle="1" w:styleId="QuoteChar">
    <w:name w:val="Quote Char"/>
    <w:basedOn w:val="DefaultParagraphFont"/>
    <w:link w:val="Quote"/>
    <w:rsid w:val="00B86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0E2"/>
    <w:pPr>
      <w:pageBreakBefore/>
    </w:pPr>
  </w:style>
  <w:style w:type="paragraph" w:customStyle="1" w:styleId="Border">
    <w:name w:val="Border"/>
    <w:basedOn w:val="Normal"/>
    <w:qFormat/>
    <w:rsid w:val="00B86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0E2"/>
    <w:rPr>
      <w:b/>
      <w:bCs/>
      <w:i/>
      <w:iCs/>
      <w:color w:val="auto"/>
    </w:rPr>
  </w:style>
  <w:style w:type="paragraph" w:styleId="IntenseQuote">
    <w:name w:val="Intense Quote"/>
    <w:basedOn w:val="Normal"/>
    <w:next w:val="Normal"/>
    <w:link w:val="IntenseQuoteChar"/>
    <w:uiPriority w:val="30"/>
    <w:qFormat/>
    <w:rsid w:val="00B86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0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0E2"/>
    <w:rPr>
      <w:smallCaps/>
      <w:color w:val="auto"/>
      <w:u w:val="single"/>
    </w:rPr>
  </w:style>
  <w:style w:type="character" w:styleId="IntenseReference">
    <w:name w:val="Intense Reference"/>
    <w:basedOn w:val="DefaultParagraphFont"/>
    <w:uiPriority w:val="32"/>
    <w:qFormat/>
    <w:rsid w:val="00B860E2"/>
    <w:rPr>
      <w:b/>
      <w:bCs/>
      <w:smallCaps/>
      <w:color w:val="auto"/>
      <w:spacing w:val="5"/>
      <w:u w:val="single"/>
    </w:rPr>
  </w:style>
  <w:style w:type="paragraph" w:customStyle="1" w:styleId="2ColumnHeading">
    <w:name w:val="2Column Heading"/>
    <w:basedOn w:val="BodyText"/>
    <w:qFormat/>
    <w:rsid w:val="00B860E2"/>
    <w:pPr>
      <w:spacing w:after="60"/>
      <w:ind w:left="-2268"/>
    </w:pPr>
    <w:rPr>
      <w:b/>
    </w:rPr>
  </w:style>
  <w:style w:type="paragraph" w:customStyle="1" w:styleId="Heading1TOC">
    <w:name w:val="Heading1 TOC"/>
    <w:basedOn w:val="Normal"/>
    <w:qFormat/>
    <w:rsid w:val="00B860E2"/>
    <w:pPr>
      <w:spacing w:before="240" w:after="120"/>
    </w:pPr>
    <w:rPr>
      <w:rFonts w:ascii="Times New Roman" w:hAnsi="Times New Roman"/>
      <w:b/>
      <w:sz w:val="32"/>
    </w:rPr>
  </w:style>
  <w:style w:type="paragraph" w:customStyle="1" w:styleId="Heading2TOC">
    <w:name w:val="Heading2 TOC"/>
    <w:basedOn w:val="Normal"/>
    <w:qFormat/>
    <w:rsid w:val="00B860E2"/>
    <w:pPr>
      <w:spacing w:before="240" w:after="60"/>
    </w:pPr>
    <w:rPr>
      <w:rFonts w:ascii="Times New Roman" w:hAnsi="Times New Roman"/>
      <w:b/>
      <w:sz w:val="28"/>
    </w:rPr>
  </w:style>
  <w:style w:type="character" w:customStyle="1" w:styleId="Underline">
    <w:name w:val="Underline"/>
    <w:basedOn w:val="DefaultParagraphFont"/>
    <w:qFormat/>
    <w:rsid w:val="00B860E2"/>
    <w:rPr>
      <w:u w:val="single"/>
    </w:rPr>
  </w:style>
  <w:style w:type="character" w:customStyle="1" w:styleId="BoldandItalics">
    <w:name w:val="Bold and Italics"/>
    <w:qFormat/>
    <w:rsid w:val="00B860E2"/>
    <w:rPr>
      <w:b/>
      <w:i/>
      <w:u w:val="none"/>
    </w:rPr>
  </w:style>
  <w:style w:type="paragraph" w:styleId="BalloonText">
    <w:name w:val="Balloon Text"/>
    <w:basedOn w:val="Normal"/>
    <w:link w:val="BalloonTextChar"/>
    <w:rsid w:val="00B860E2"/>
    <w:rPr>
      <w:rFonts w:ascii="Tahoma" w:hAnsi="Tahoma" w:cs="Tahoma"/>
      <w:sz w:val="16"/>
      <w:szCs w:val="16"/>
    </w:rPr>
  </w:style>
  <w:style w:type="character" w:customStyle="1" w:styleId="BalloonTextChar">
    <w:name w:val="Balloon Text Char"/>
    <w:basedOn w:val="DefaultParagraphFont"/>
    <w:link w:val="BalloonText"/>
    <w:rsid w:val="00B860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0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0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0E2"/>
    <w:rPr>
      <w:b/>
      <w:color w:val="660033"/>
      <w:spacing w:val="0"/>
    </w:rPr>
  </w:style>
  <w:style w:type="paragraph" w:customStyle="1" w:styleId="Nameditemlist">
    <w:name w:val="Named item list"/>
    <w:basedOn w:val="BodyText"/>
    <w:qFormat/>
    <w:rsid w:val="00B860E2"/>
    <w:pPr>
      <w:tabs>
        <w:tab w:val="left" w:pos="2835"/>
      </w:tabs>
      <w:ind w:left="2835" w:hanging="2835"/>
    </w:pPr>
  </w:style>
  <w:style w:type="paragraph" w:customStyle="1" w:styleId="BodyTextnopadding">
    <w:name w:val="Body Text no padding"/>
    <w:basedOn w:val="BodyText"/>
    <w:qFormat/>
    <w:rsid w:val="00B860E2"/>
    <w:pPr>
      <w:spacing w:before="0" w:after="0"/>
    </w:pPr>
  </w:style>
  <w:style w:type="paragraph" w:customStyle="1" w:styleId="BodyTextBold">
    <w:name w:val="Body Text Bold"/>
    <w:basedOn w:val="BodyText"/>
    <w:qFormat/>
    <w:rsid w:val="00B860E2"/>
    <w:rPr>
      <w:b/>
    </w:rPr>
  </w:style>
  <w:style w:type="character" w:styleId="Hyperlink">
    <w:name w:val="Hyperlink"/>
    <w:basedOn w:val="DefaultParagraphFont"/>
    <w:uiPriority w:val="99"/>
    <w:unhideWhenUsed/>
    <w:rsid w:val="004F32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5176</Characters>
  <Application>Microsoft Office Word</Application>
  <DocSecurity>0</DocSecurity>
  <Lines>123</Lines>
  <Paragraphs>97</Paragraphs>
  <ScaleCrop>false</ScaleCrop>
  <Company>Author-it Software Corporation Ltd.</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UEEIC0043 Solve problems in temperature measurement components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