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B0E" w:rsidP="004D7B0E">
      <w:pPr>
        <w:pStyle w:val="Title"/>
      </w:pPr>
      <w:r>
        <w:fldChar w:fldCharType="begin"/>
      </w:r>
      <w:r>
        <w:instrText xml:space="preserve"> TITLE   \* MERGEFORMAT </w:instrText>
      </w:r>
      <w:r>
        <w:fldChar w:fldCharType="separate"/>
      </w:r>
      <w:r>
        <w:t>Assessment Requirements for UEEIC0042 Solve problems in single phase electronic power control circuits</w:t>
      </w:r>
      <w:r>
        <w:fldChar w:fldCharType="end"/>
      </w:r>
    </w:p>
    <w:p w:rsidR="004D7B0E" w:rsidP="004D7B0E">
      <w:pPr>
        <w:pStyle w:val="Version"/>
        <w:sectPr w:rsidSect="00B96F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F6C" w:rsidP="00B96F6C">
      <w:pPr>
        <w:pStyle w:val="SuperHeading"/>
      </w:pPr>
      <w:r w:rsidRPr="00B96F6C">
        <w:t>Assessment Requirements for UEEIC0042 Solve problems in single phase electronic power control circuits</w:t>
      </w:r>
    </w:p>
    <w:p w:rsidR="00000000" w:rsidRPr="00B96F6C" w:rsidP="00B96F6C">
      <w:pPr>
        <w:pStyle w:val="Heading1"/>
      </w:pPr>
      <w:bookmarkStart w:id="1" w:name="O_1083174"/>
      <w:bookmarkEnd w:id="1"/>
      <w:r w:rsidRPr="00B96F6C">
        <w:t>Modification History</w:t>
      </w:r>
    </w:p>
    <w:tbl>
      <w:tblPr>
        <w:tblW w:w="9497" w:type="dxa"/>
        <w:tblLayout w:type="fixed"/>
        <w:tblCellMar>
          <w:left w:w="62" w:type="dxa"/>
          <w:right w:w="62" w:type="dxa"/>
        </w:tblCellMar>
        <w:tblLook w:val="0000"/>
      </w:tblPr>
      <w:tblGrid>
        <w:gridCol w:w="9497"/>
      </w:tblGrid>
      <w:tr w:rsidTr="00B96F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F6C" w:rsidP="00B96F6C">
            <w:pPr>
              <w:pStyle w:val="BodyText"/>
            </w:pPr>
            <w:r w:rsidRPr="00B96F6C">
              <w:t>Release 1. This is the first release of this unit of competency in the UEE Electrotechnology Training Package.</w:t>
            </w:r>
          </w:p>
        </w:tc>
      </w:tr>
    </w:tbl>
    <w:p w:rsidR="00000000" w:rsidRPr="00B96F6C" w:rsidP="00B96F6C">
      <w:pPr>
        <w:pStyle w:val="NoPaddingFontSize1"/>
      </w:pPr>
    </w:p>
    <w:p w:rsidR="00000000" w:rsidRPr="00B96F6C" w:rsidP="00B96F6C">
      <w:pPr>
        <w:pStyle w:val="AllowPageBreak"/>
      </w:pPr>
    </w:p>
    <w:p w:rsidR="00000000" w:rsidRPr="00B96F6C" w:rsidP="00B96F6C">
      <w:pPr>
        <w:pStyle w:val="Heading1"/>
      </w:pPr>
      <w:bookmarkStart w:id="2" w:name="O_1083175"/>
      <w:bookmarkEnd w:id="2"/>
      <w:r w:rsidRPr="00B96F6C">
        <w:t>Performance Evidence</w:t>
      </w:r>
    </w:p>
    <w:tbl>
      <w:tblPr>
        <w:tblW w:w="9497" w:type="dxa"/>
        <w:tblLayout w:type="fixed"/>
        <w:tblCellMar>
          <w:left w:w="62" w:type="dxa"/>
          <w:right w:w="62" w:type="dxa"/>
        </w:tblCellMar>
        <w:tblLook w:val="0000"/>
      </w:tblPr>
      <w:tblGrid>
        <w:gridCol w:w="9497"/>
      </w:tblGrid>
      <w:tr w:rsidTr="00B96F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6F6C">
            <w:pPr>
              <w:pStyle w:val="BodyText"/>
              <w:rPr>
                <w:lang w:val="en-NZ"/>
              </w:rPr>
            </w:pPr>
            <w:r w:rsidRPr="00B96F6C">
              <w:t>Evidence required to demonstrate competence in this unit must be relevant to and satisfy all of the requirements of the elements, performance criteria and range of conditions on at least two separate occasions and in</w:t>
            </w:r>
            <w:r w:rsidRPr="00B96F6C">
              <w:t xml:space="preserve">clude: </w:t>
            </w:r>
          </w:p>
        </w:tc>
      </w:tr>
      <w:tr w:rsidTr="00B96F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F6C" w:rsidP="00B96F6C">
            <w:pPr>
              <w:pStyle w:val="ListBullet"/>
            </w:pPr>
            <w:r w:rsidRPr="00B96F6C">
              <w:t>applying relevant work health and safety (WHS)/occupational health and safety (OHS) requirements, including implementing risk control measures</w:t>
            </w:r>
          </w:p>
          <w:p w:rsidR="00000000" w:rsidRPr="00B96F6C" w:rsidP="00B96F6C">
            <w:pPr>
              <w:pStyle w:val="ListBullet"/>
            </w:pPr>
            <w:r w:rsidRPr="00B96F6C">
              <w:t>applying sustainable energy principles and practices</w:t>
            </w:r>
          </w:p>
          <w:p w:rsidR="00000000" w:rsidRPr="00B96F6C" w:rsidP="00B96F6C">
            <w:pPr>
              <w:pStyle w:val="ListBullet"/>
            </w:pPr>
            <w:r w:rsidRPr="00B96F6C">
              <w:t>evaluating problem resolutions, testing for effect</w:t>
            </w:r>
            <w:r w:rsidRPr="00B96F6C">
              <w:t>iveness and modifying as required</w:t>
            </w:r>
          </w:p>
          <w:p w:rsidR="00000000" w:rsidRPr="00B96F6C" w:rsidP="00B96F6C">
            <w:pPr>
              <w:pStyle w:val="ListBullet"/>
            </w:pPr>
            <w:r w:rsidRPr="00B96F6C">
              <w:t>meeting scheduled timelines</w:t>
            </w:r>
          </w:p>
          <w:p w:rsidR="00000000" w:rsidRPr="00B96F6C" w:rsidP="00B96F6C">
            <w:pPr>
              <w:pStyle w:val="ListBullet"/>
            </w:pPr>
            <w:r w:rsidRPr="00B96F6C">
              <w:t>preparing and solving problems in single phase electronic power control systems</w:t>
            </w:r>
          </w:p>
          <w:p w:rsidR="00000000" w:rsidRPr="00B96F6C" w:rsidP="00B96F6C">
            <w:pPr>
              <w:pStyle w:val="ListBullet"/>
            </w:pPr>
            <w:r w:rsidRPr="00B96F6C">
              <w:t>using tools, equipment and testing devices</w:t>
            </w:r>
          </w:p>
          <w:p w:rsidR="00000000" w:rsidRPr="00B96F6C" w:rsidP="00B96F6C">
            <w:pPr>
              <w:pStyle w:val="ListBullet"/>
            </w:pPr>
            <w:r w:rsidRPr="00B96F6C">
              <w:t>obtaining and checking tools and equipment</w:t>
            </w:r>
          </w:p>
          <w:p w:rsidR="00000000" w:rsidRPr="00B96F6C" w:rsidP="00B96F6C">
            <w:pPr>
              <w:pStyle w:val="ListBullet"/>
            </w:pPr>
            <w:r w:rsidRPr="00B96F6C">
              <w:t>dealing with unplanned events/situations in accordance with workplace procedures in a manner that minimises risk to personnel and equipment.</w:t>
            </w:r>
          </w:p>
        </w:tc>
      </w:tr>
    </w:tbl>
    <w:p w:rsidR="00000000" w:rsidRPr="00B96F6C" w:rsidP="00B96F6C">
      <w:pPr>
        <w:pStyle w:val="NoPaddingFontSize1"/>
      </w:pPr>
    </w:p>
    <w:p w:rsidR="00000000" w:rsidRPr="00B96F6C" w:rsidP="00B96F6C">
      <w:pPr>
        <w:pStyle w:val="AllowPageBreak"/>
      </w:pPr>
    </w:p>
    <w:p w:rsidR="00000000" w:rsidRPr="00B96F6C" w:rsidP="00B96F6C">
      <w:pPr>
        <w:pStyle w:val="Heading1"/>
      </w:pPr>
      <w:bookmarkStart w:id="3" w:name="O_1083176"/>
      <w:bookmarkEnd w:id="3"/>
      <w:r w:rsidRPr="00B96F6C">
        <w:t>Knowledge Evidence</w:t>
      </w:r>
    </w:p>
    <w:tbl>
      <w:tblPr>
        <w:tblW w:w="9497" w:type="dxa"/>
        <w:tblLayout w:type="fixed"/>
        <w:tblCellMar>
          <w:left w:w="62" w:type="dxa"/>
          <w:right w:w="62" w:type="dxa"/>
        </w:tblCellMar>
        <w:tblLook w:val="0000"/>
      </w:tblPr>
      <w:tblGrid>
        <w:gridCol w:w="9497"/>
      </w:tblGrid>
      <w:tr w:rsidTr="00B96F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6F6C">
            <w:pPr>
              <w:pStyle w:val="BodyText"/>
              <w:rPr>
                <w:lang w:val="en-NZ"/>
              </w:rPr>
            </w:pPr>
            <w:r w:rsidRPr="00B96F6C">
              <w:t>Evidence required to demonstrate competence in this unit must be relevant t</w:t>
            </w:r>
            <w:r w:rsidRPr="00B96F6C">
              <w:t xml:space="preserve">o and satisfy all of the requirements of the elements, performance criteria and range of conditions and include knowledge of: </w:t>
            </w:r>
          </w:p>
        </w:tc>
      </w:tr>
      <w:tr w:rsidTr="00B96F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F6C" w:rsidP="00B96F6C">
            <w:pPr>
              <w:pStyle w:val="ListBullet"/>
            </w:pPr>
            <w:r w:rsidRPr="00B96F6C">
              <w:t>introduction to power control, including:</w:t>
            </w:r>
          </w:p>
          <w:p w:rsidR="00000000" w:rsidRPr="00B96F6C" w:rsidP="00B96F6C">
            <w:pPr>
              <w:pStyle w:val="ListBullet2"/>
            </w:pPr>
            <w:r w:rsidRPr="00B96F6C">
              <w:t>advantages and benefits of power control</w:t>
            </w:r>
          </w:p>
          <w:p w:rsidR="00000000" w:rsidRPr="00B96F6C" w:rsidP="00B96F6C">
            <w:pPr>
              <w:pStyle w:val="ListBullet2"/>
            </w:pPr>
            <w:r w:rsidRPr="00B96F6C">
              <w:t>need for power control and typical applications</w:t>
            </w:r>
          </w:p>
          <w:p w:rsidR="00000000" w:rsidRPr="00B96F6C" w:rsidP="00B96F6C">
            <w:pPr>
              <w:pStyle w:val="ListBullet2"/>
            </w:pPr>
            <w:r w:rsidRPr="00B96F6C">
              <w:t>power control methods</w:t>
            </w:r>
          </w:p>
          <w:p w:rsidR="00000000" w:rsidRPr="00B96F6C" w:rsidP="00B96F6C">
            <w:pPr>
              <w:pStyle w:val="ListBullet2"/>
            </w:pPr>
            <w:r w:rsidRPr="00B96F6C">
              <w:t>types of solid-state switches</w:t>
            </w:r>
          </w:p>
          <w:p w:rsidR="00000000" w:rsidRPr="00B96F6C" w:rsidP="00B96F6C">
            <w:pPr>
              <w:pStyle w:val="ListBullet2"/>
            </w:pPr>
            <w:r w:rsidRPr="00B96F6C">
              <w:t>block diagram of a power converter</w:t>
            </w:r>
          </w:p>
          <w:p w:rsidR="00000000" w:rsidRPr="00B96F6C" w:rsidP="00B96F6C">
            <w:pPr>
              <w:pStyle w:val="ListBullet2"/>
            </w:pPr>
            <w:r w:rsidRPr="00B96F6C">
              <w:t>power control terminology</w:t>
            </w:r>
          </w:p>
          <w:p w:rsidR="00000000" w:rsidRPr="00B96F6C" w:rsidP="00B96F6C">
            <w:pPr>
              <w:pStyle w:val="ListBullet2"/>
            </w:pPr>
            <w:r w:rsidRPr="00B96F6C">
              <w:t>modes of operation</w:t>
            </w:r>
          </w:p>
          <w:p w:rsidR="00000000" w:rsidRPr="00B96F6C" w:rsidP="00B96F6C">
            <w:pPr>
              <w:pStyle w:val="ListBullet"/>
            </w:pPr>
            <w:r w:rsidRPr="00B96F6C">
              <w:t>single phase power rectifiers, including:</w:t>
            </w:r>
          </w:p>
          <w:p w:rsidR="00000000" w:rsidRPr="00B96F6C" w:rsidP="00B96F6C">
            <w:pPr>
              <w:pStyle w:val="ListBullet2"/>
            </w:pPr>
            <w:r w:rsidRPr="00B96F6C">
              <w:t>single phase rectifier circuit c</w:t>
            </w:r>
            <w:r w:rsidRPr="00B96F6C">
              <w:t>onfigurations</w:t>
            </w:r>
          </w:p>
          <w:p w:rsidR="00000000" w:rsidRPr="00B96F6C" w:rsidP="00B96F6C">
            <w:pPr>
              <w:pStyle w:val="ListBullet2"/>
            </w:pPr>
            <w:r w:rsidRPr="00B96F6C">
              <w:t>resistive/inductive loads</w:t>
            </w:r>
          </w:p>
          <w:p w:rsidR="00000000" w:rsidRPr="00B96F6C" w:rsidP="00B96F6C">
            <w:pPr>
              <w:pStyle w:val="ListBullet2"/>
            </w:pPr>
            <w:r w:rsidRPr="00B96F6C">
              <w:t>output voltages/waveforms</w:t>
            </w:r>
          </w:p>
          <w:p w:rsidR="00000000" w:rsidRPr="00B96F6C" w:rsidP="00B96F6C">
            <w:pPr>
              <w:pStyle w:val="ListBullet2"/>
            </w:pPr>
            <w:r w:rsidRPr="00B96F6C">
              <w:t>ripple voltage frequency</w:t>
            </w:r>
          </w:p>
          <w:p w:rsidR="00000000" w:rsidRPr="00B96F6C" w:rsidP="00B96F6C">
            <w:pPr>
              <w:pStyle w:val="ListBullet2"/>
            </w:pPr>
            <w:r w:rsidRPr="00B96F6C">
              <w:t>peak reverse voltages</w:t>
            </w:r>
          </w:p>
          <w:p w:rsidR="00000000" w:rsidRPr="00B96F6C" w:rsidP="00B96F6C">
            <w:pPr>
              <w:pStyle w:val="ListBullet2"/>
            </w:pPr>
            <w:r w:rsidRPr="00B96F6C">
              <w:t>freewheeling diodes</w:t>
            </w:r>
          </w:p>
          <w:p w:rsidR="00000000" w:rsidRPr="00B96F6C" w:rsidP="00B96F6C">
            <w:pPr>
              <w:pStyle w:val="ListBullet"/>
            </w:pPr>
            <w:r w:rsidRPr="00B96F6C">
              <w:t>silicon controlled rectifiers (SCRs), including:</w:t>
            </w:r>
          </w:p>
          <w:p w:rsidR="00000000" w:rsidRPr="00B96F6C" w:rsidP="00B96F6C">
            <w:pPr>
              <w:pStyle w:val="ListBullet2"/>
            </w:pPr>
            <w:r w:rsidRPr="00B96F6C">
              <w:t>construction and symbol</w:t>
            </w:r>
          </w:p>
          <w:p w:rsidR="00000000" w:rsidRPr="00B96F6C" w:rsidP="00B96F6C">
            <w:pPr>
              <w:pStyle w:val="ListBullet2"/>
            </w:pPr>
            <w:r w:rsidRPr="00B96F6C">
              <w:t>basic operating principles</w:t>
            </w:r>
          </w:p>
          <w:p w:rsidR="00000000" w:rsidRPr="00B96F6C" w:rsidP="00B96F6C">
            <w:pPr>
              <w:pStyle w:val="ListBullet2"/>
            </w:pPr>
            <w:r w:rsidRPr="00B96F6C">
              <w:t>characteristics</w:t>
            </w:r>
          </w:p>
          <w:p w:rsidR="00000000" w:rsidRPr="00B96F6C" w:rsidP="00B96F6C">
            <w:pPr>
              <w:pStyle w:val="ListBullet2"/>
            </w:pPr>
            <w:r w:rsidRPr="00B96F6C">
              <w:t>gate requirements</w:t>
            </w:r>
          </w:p>
          <w:p w:rsidR="00000000" w:rsidRPr="00B96F6C" w:rsidP="00B96F6C">
            <w:pPr>
              <w:pStyle w:val="ListBullet2"/>
            </w:pPr>
            <w:r w:rsidRPr="00B96F6C">
              <w:t>commutation</w:t>
            </w:r>
          </w:p>
          <w:p w:rsidR="00000000" w:rsidRPr="00B96F6C" w:rsidP="00B96F6C">
            <w:pPr>
              <w:pStyle w:val="ListBullet2"/>
            </w:pPr>
            <w:r w:rsidRPr="00B96F6C">
              <w:t>electrical ratings</w:t>
            </w:r>
          </w:p>
          <w:p w:rsidR="00000000" w:rsidRPr="00B96F6C" w:rsidP="00B96F6C">
            <w:pPr>
              <w:pStyle w:val="ListBullet2"/>
            </w:pPr>
            <w:r w:rsidRPr="00B96F6C">
              <w:t>testing SCRs</w:t>
            </w:r>
          </w:p>
          <w:p w:rsidR="00000000" w:rsidRPr="00B96F6C" w:rsidP="00B96F6C">
            <w:pPr>
              <w:pStyle w:val="ListBullet2"/>
            </w:pPr>
            <w:r w:rsidRPr="00B96F6C">
              <w:t>applications</w:t>
            </w:r>
          </w:p>
          <w:p w:rsidR="00000000" w:rsidRPr="00B96F6C" w:rsidP="00B96F6C">
            <w:pPr>
              <w:pStyle w:val="ListBullet"/>
            </w:pPr>
            <w:r w:rsidRPr="00B96F6C">
              <w:t>triacs and gate turn off (GTO) thyristors, including:</w:t>
            </w:r>
          </w:p>
          <w:p w:rsidR="00000000" w:rsidRPr="00B96F6C" w:rsidP="00B96F6C">
            <w:pPr>
              <w:pStyle w:val="ListBullet2"/>
            </w:pPr>
            <w:r w:rsidRPr="00B96F6C">
              <w:t>triac construction and symbol</w:t>
            </w:r>
          </w:p>
          <w:p w:rsidR="00000000" w:rsidRPr="00B96F6C" w:rsidP="00B96F6C">
            <w:pPr>
              <w:pStyle w:val="ListBullet2"/>
            </w:pPr>
            <w:r w:rsidRPr="00B96F6C">
              <w:t>triac basic operating principles</w:t>
            </w:r>
          </w:p>
          <w:p w:rsidR="00000000" w:rsidRPr="00B96F6C" w:rsidP="00B96F6C">
            <w:pPr>
              <w:pStyle w:val="ListBullet2"/>
            </w:pPr>
            <w:r w:rsidRPr="00B96F6C">
              <w:t>triac characteristics</w:t>
            </w:r>
          </w:p>
          <w:p w:rsidR="00000000" w:rsidRPr="00B96F6C" w:rsidP="00B96F6C">
            <w:pPr>
              <w:pStyle w:val="ListBullet2"/>
            </w:pPr>
            <w:r w:rsidRPr="00B96F6C">
              <w:t>triac triggering modes</w:t>
            </w:r>
          </w:p>
          <w:p w:rsidR="00000000" w:rsidRPr="00B96F6C" w:rsidP="00B96F6C">
            <w:pPr>
              <w:pStyle w:val="ListBullet2"/>
            </w:pPr>
            <w:r w:rsidRPr="00B96F6C">
              <w:t xml:space="preserve">triac electrical </w:t>
            </w:r>
            <w:r w:rsidRPr="00B96F6C">
              <w:t>ratings</w:t>
            </w:r>
          </w:p>
          <w:p w:rsidR="00000000" w:rsidRPr="00B96F6C" w:rsidP="00B96F6C">
            <w:pPr>
              <w:pStyle w:val="ListBullet2"/>
            </w:pPr>
            <w:r w:rsidRPr="00B96F6C">
              <w:t>triac testing</w:t>
            </w:r>
          </w:p>
          <w:p w:rsidR="00000000" w:rsidRPr="00B96F6C" w:rsidP="00B96F6C">
            <w:pPr>
              <w:pStyle w:val="ListBullet2"/>
            </w:pPr>
            <w:r w:rsidRPr="00B96F6C">
              <w:t>GTO construction and symbol</w:t>
            </w:r>
          </w:p>
          <w:p w:rsidR="00000000" w:rsidRPr="00B96F6C" w:rsidP="00B96F6C">
            <w:pPr>
              <w:pStyle w:val="ListBullet2"/>
            </w:pPr>
            <w:r w:rsidRPr="00B96F6C">
              <w:t>GTO basic operating principles</w:t>
            </w:r>
          </w:p>
          <w:p w:rsidR="00000000" w:rsidRPr="00B96F6C" w:rsidP="00B96F6C">
            <w:pPr>
              <w:pStyle w:val="ListBullet2"/>
            </w:pPr>
            <w:r w:rsidRPr="00B96F6C">
              <w:t>GTO characteristics</w:t>
            </w:r>
          </w:p>
          <w:p w:rsidR="00000000" w:rsidRPr="00B96F6C" w:rsidP="00B96F6C">
            <w:pPr>
              <w:pStyle w:val="ListBullet2"/>
            </w:pPr>
            <w:r w:rsidRPr="00B96F6C">
              <w:t>GTO electrical ratings</w:t>
            </w:r>
          </w:p>
          <w:p w:rsidR="00000000" w:rsidRPr="00B96F6C" w:rsidP="00B96F6C">
            <w:pPr>
              <w:pStyle w:val="ListBullet2"/>
            </w:pPr>
            <w:r w:rsidRPr="00B96F6C">
              <w:t>applications for triac and GTOs</w:t>
            </w:r>
          </w:p>
          <w:p w:rsidR="00000000" w:rsidRPr="00B96F6C" w:rsidP="00B96F6C">
            <w:pPr>
              <w:pStyle w:val="ListBullet"/>
            </w:pPr>
            <w:r w:rsidRPr="00B96F6C">
              <w:t>power transistors bipolar junction transistor (BJT), including:</w:t>
            </w:r>
          </w:p>
          <w:p w:rsidR="00000000" w:rsidRPr="00B96F6C" w:rsidP="00B96F6C">
            <w:pPr>
              <w:pStyle w:val="ListBullet2"/>
            </w:pPr>
            <w:r w:rsidRPr="00B96F6C">
              <w:t>BJT construction and symbol</w:t>
            </w:r>
          </w:p>
          <w:p w:rsidR="00000000" w:rsidRPr="00B96F6C" w:rsidP="00B96F6C">
            <w:pPr>
              <w:pStyle w:val="ListBullet2"/>
            </w:pPr>
            <w:r w:rsidRPr="00B96F6C">
              <w:t>BJT basic operating principles</w:t>
            </w:r>
          </w:p>
          <w:p w:rsidR="00000000" w:rsidRPr="00B96F6C" w:rsidP="00B96F6C">
            <w:pPr>
              <w:pStyle w:val="ListBullet2"/>
            </w:pPr>
            <w:r w:rsidRPr="00B96F6C">
              <w:t>BJT characteristics</w:t>
            </w:r>
          </w:p>
          <w:p w:rsidR="00000000" w:rsidRPr="00B96F6C" w:rsidP="00B96F6C">
            <w:pPr>
              <w:pStyle w:val="ListBullet2"/>
            </w:pPr>
            <w:r w:rsidRPr="00B96F6C">
              <w:t>BJT electrical ratings</w:t>
            </w:r>
          </w:p>
          <w:p w:rsidR="00000000" w:rsidRPr="00B96F6C" w:rsidP="00B96F6C">
            <w:pPr>
              <w:pStyle w:val="ListBullet2"/>
            </w:pPr>
            <w:r w:rsidRPr="00B96F6C">
              <w:t>BJT testing</w:t>
            </w:r>
          </w:p>
          <w:p w:rsidR="00000000" w:rsidRPr="00B96F6C" w:rsidP="00B96F6C">
            <w:pPr>
              <w:pStyle w:val="ListBullet2"/>
            </w:pPr>
            <w:r w:rsidRPr="00B96F6C">
              <w:t>applications for BJTs</w:t>
            </w:r>
          </w:p>
          <w:p w:rsidR="00000000" w:rsidRPr="00B96F6C" w:rsidP="00B96F6C">
            <w:pPr>
              <w:pStyle w:val="ListBullet"/>
            </w:pPr>
            <w:r w:rsidRPr="00B96F6C">
              <w:t>power field effect transistors (FET), including:</w:t>
            </w:r>
          </w:p>
          <w:p w:rsidR="00000000" w:rsidRPr="00B96F6C" w:rsidP="00B96F6C">
            <w:pPr>
              <w:pStyle w:val="ListBullet2"/>
            </w:pPr>
            <w:r w:rsidRPr="00B96F6C">
              <w:t>types of FETs used for power control</w:t>
            </w:r>
          </w:p>
          <w:p w:rsidR="00000000" w:rsidRPr="00B96F6C" w:rsidP="00B96F6C">
            <w:pPr>
              <w:pStyle w:val="ListBullet2"/>
            </w:pPr>
            <w:r w:rsidRPr="00B96F6C">
              <w:t>power FETs construction and symbol</w:t>
            </w:r>
          </w:p>
          <w:p w:rsidR="00000000" w:rsidRPr="00B96F6C" w:rsidP="00B96F6C">
            <w:pPr>
              <w:pStyle w:val="ListBullet2"/>
            </w:pPr>
            <w:r w:rsidRPr="00B96F6C">
              <w:t>FET basic operating principles and characteristics</w:t>
            </w:r>
          </w:p>
          <w:p w:rsidR="00000000" w:rsidRPr="00B96F6C" w:rsidP="00B96F6C">
            <w:pPr>
              <w:pStyle w:val="ListBullet2"/>
            </w:pPr>
            <w:r w:rsidRPr="00B96F6C">
              <w:t>insulated gate bipolar transistor (IGBT) basic operating principles and characteristics</w:t>
            </w:r>
          </w:p>
          <w:p w:rsidR="00000000" w:rsidRPr="00B96F6C" w:rsidP="00B96F6C">
            <w:pPr>
              <w:pStyle w:val="ListBullet2"/>
            </w:pPr>
            <w:r w:rsidRPr="00B96F6C">
              <w:t>power FET electrical ratings</w:t>
            </w:r>
          </w:p>
          <w:p w:rsidR="00000000" w:rsidRPr="00B96F6C" w:rsidP="00B96F6C">
            <w:pPr>
              <w:pStyle w:val="ListBullet2"/>
            </w:pPr>
            <w:r w:rsidRPr="00B96F6C">
              <w:t>power FET Testing</w:t>
            </w:r>
          </w:p>
          <w:p w:rsidR="00000000" w:rsidRPr="00B96F6C" w:rsidP="00B96F6C">
            <w:pPr>
              <w:pStyle w:val="ListBullet2"/>
            </w:pPr>
            <w:r w:rsidRPr="00B96F6C">
              <w:t>applications for power FETs</w:t>
            </w:r>
          </w:p>
          <w:p w:rsidR="00000000" w:rsidRPr="00B96F6C" w:rsidP="00B96F6C">
            <w:pPr>
              <w:pStyle w:val="ListBullet"/>
            </w:pPr>
            <w:r w:rsidRPr="00B96F6C">
              <w:t>triggering devices diac, including:</w:t>
            </w:r>
          </w:p>
          <w:p w:rsidR="00000000" w:rsidRPr="00B96F6C" w:rsidP="00B96F6C">
            <w:pPr>
              <w:pStyle w:val="ListBullet2"/>
            </w:pPr>
            <w:r w:rsidRPr="00B96F6C">
              <w:t>cons</w:t>
            </w:r>
            <w:r w:rsidRPr="00B96F6C">
              <w:t>truction and symbol</w:t>
            </w:r>
          </w:p>
          <w:p w:rsidR="00000000" w:rsidRPr="00B96F6C" w:rsidP="00B96F6C">
            <w:pPr>
              <w:pStyle w:val="ListBullet2"/>
            </w:pPr>
            <w:r w:rsidRPr="00B96F6C">
              <w:t>operating principles</w:t>
            </w:r>
          </w:p>
          <w:p w:rsidR="00000000" w:rsidRPr="00B96F6C" w:rsidP="00B96F6C">
            <w:pPr>
              <w:pStyle w:val="ListBullet2"/>
            </w:pPr>
            <w:r w:rsidRPr="00B96F6C">
              <w:t>breakover voltage</w:t>
            </w:r>
          </w:p>
          <w:p w:rsidR="00000000" w:rsidRPr="00B96F6C" w:rsidP="00B96F6C">
            <w:pPr>
              <w:pStyle w:val="ListBullet2"/>
            </w:pPr>
            <w:r w:rsidRPr="00B96F6C">
              <w:t>unijunction transistors (UJTs)</w:t>
            </w:r>
          </w:p>
          <w:p w:rsidR="00000000" w:rsidRPr="00B96F6C" w:rsidP="00B96F6C">
            <w:pPr>
              <w:pStyle w:val="ListBullet2"/>
            </w:pPr>
            <w:r w:rsidRPr="00B96F6C">
              <w:t>construction and symbol</w:t>
            </w:r>
          </w:p>
          <w:p w:rsidR="00000000" w:rsidRPr="00B96F6C" w:rsidP="00B96F6C">
            <w:pPr>
              <w:pStyle w:val="ListBullet2"/>
            </w:pPr>
            <w:r w:rsidRPr="00B96F6C">
              <w:t>operating principles</w:t>
            </w:r>
          </w:p>
          <w:p w:rsidR="00000000" w:rsidRPr="00B96F6C" w:rsidP="00B96F6C">
            <w:pPr>
              <w:pStyle w:val="ListBullet2"/>
            </w:pPr>
            <w:r w:rsidRPr="00B96F6C">
              <w:t>intrinsic stand-off ratio and peak point voltage</w:t>
            </w:r>
          </w:p>
          <w:p w:rsidR="00000000" w:rsidRPr="00B96F6C" w:rsidP="00B96F6C">
            <w:pPr>
              <w:pStyle w:val="ListBullet"/>
            </w:pPr>
            <w:r w:rsidRPr="00B96F6C">
              <w:t>programmable unijunction transistors (PUTs) including:</w:t>
            </w:r>
          </w:p>
          <w:p w:rsidR="00000000" w:rsidRPr="00B96F6C" w:rsidP="00B96F6C">
            <w:pPr>
              <w:pStyle w:val="ListBullet2"/>
            </w:pPr>
            <w:r w:rsidRPr="00B96F6C">
              <w:t>construction and symbol</w:t>
            </w:r>
          </w:p>
          <w:p w:rsidR="00000000" w:rsidRPr="00B96F6C" w:rsidP="00B96F6C">
            <w:pPr>
              <w:pStyle w:val="ListBullet2"/>
            </w:pPr>
            <w:r w:rsidRPr="00B96F6C">
              <w:t>operating principles</w:t>
            </w:r>
          </w:p>
          <w:p w:rsidR="00000000" w:rsidRPr="00B96F6C" w:rsidP="00B96F6C">
            <w:pPr>
              <w:pStyle w:val="ListBullet2"/>
            </w:pPr>
            <w:r w:rsidRPr="00B96F6C">
              <w:t>programmable standoff ratio</w:t>
            </w:r>
          </w:p>
          <w:p w:rsidR="00000000" w:rsidRPr="00B96F6C" w:rsidP="00B96F6C">
            <w:pPr>
              <w:pStyle w:val="ListBullet2"/>
            </w:pPr>
            <w:r w:rsidRPr="00B96F6C">
              <w:t>peak point voltage</w:t>
            </w:r>
          </w:p>
          <w:p w:rsidR="00000000" w:rsidRPr="00B96F6C" w:rsidP="00B96F6C">
            <w:pPr>
              <w:pStyle w:val="ListBullet"/>
            </w:pPr>
            <w:r w:rsidRPr="00B96F6C">
              <w:t>triggering circuits, including:</w:t>
            </w:r>
          </w:p>
          <w:p w:rsidR="00000000" w:rsidRPr="00B96F6C" w:rsidP="00B96F6C">
            <w:pPr>
              <w:pStyle w:val="ListBullet2"/>
            </w:pPr>
            <w:r w:rsidRPr="00B96F6C">
              <w:t>R-C time constant circuits</w:t>
            </w:r>
          </w:p>
          <w:p w:rsidR="00000000" w:rsidRPr="00B96F6C" w:rsidP="00B96F6C">
            <w:pPr>
              <w:pStyle w:val="ListBullet2"/>
            </w:pPr>
            <w:r w:rsidRPr="00B96F6C">
              <w:t>diac trigger circuit operation</w:t>
            </w:r>
          </w:p>
          <w:p w:rsidR="00000000" w:rsidRPr="00B96F6C" w:rsidP="00B96F6C">
            <w:pPr>
              <w:pStyle w:val="ListBullet2"/>
            </w:pPr>
            <w:r w:rsidRPr="00B96F6C">
              <w:t>UJT relaxation oscillator circuit operation</w:t>
            </w:r>
          </w:p>
          <w:p w:rsidR="00000000" w:rsidRPr="00B96F6C" w:rsidP="00B96F6C">
            <w:pPr>
              <w:pStyle w:val="ListBullet2"/>
            </w:pPr>
            <w:r w:rsidRPr="00B96F6C">
              <w:t>PUT relaxation oscillator ci</w:t>
            </w:r>
            <w:r w:rsidRPr="00B96F6C">
              <w:t>rcuit</w:t>
            </w:r>
          </w:p>
          <w:p w:rsidR="00000000" w:rsidRPr="00B96F6C" w:rsidP="00B96F6C">
            <w:pPr>
              <w:pStyle w:val="ListBullet"/>
            </w:pPr>
            <w:r w:rsidRPr="00B96F6C">
              <w:t>half wave-controlled rectification, including:</w:t>
            </w:r>
          </w:p>
          <w:p w:rsidR="00000000" w:rsidRPr="00B96F6C" w:rsidP="00B96F6C">
            <w:pPr>
              <w:pStyle w:val="ListBullet2"/>
            </w:pPr>
            <w:r w:rsidRPr="00B96F6C">
              <w:t>phase shift control</w:t>
            </w:r>
          </w:p>
          <w:p w:rsidR="00000000" w:rsidRPr="00B96F6C" w:rsidP="00B96F6C">
            <w:pPr>
              <w:pStyle w:val="ListBullet2"/>
            </w:pPr>
            <w:r w:rsidRPr="00B96F6C">
              <w:t>controlled rectifiers</w:t>
            </w:r>
          </w:p>
          <w:p w:rsidR="00000000" w:rsidRPr="00B96F6C" w:rsidP="00B96F6C">
            <w:pPr>
              <w:pStyle w:val="ListBullet2"/>
            </w:pPr>
            <w:r w:rsidRPr="00B96F6C">
              <w:t>controlled rectifier power output control</w:t>
            </w:r>
          </w:p>
          <w:p w:rsidR="00000000" w:rsidRPr="00B96F6C" w:rsidP="00B96F6C">
            <w:pPr>
              <w:pStyle w:val="ListBullet2"/>
            </w:pPr>
            <w:r w:rsidRPr="00B96F6C">
              <w:t>single phase half wave-controlled rectifier</w:t>
            </w:r>
          </w:p>
          <w:p w:rsidR="00000000" w:rsidRPr="00B96F6C" w:rsidP="00B96F6C">
            <w:pPr>
              <w:pStyle w:val="ListBullet2"/>
            </w:pPr>
            <w:r w:rsidRPr="00B96F6C">
              <w:t>circuit configuration</w:t>
            </w:r>
          </w:p>
          <w:p w:rsidR="00000000" w:rsidRPr="00B96F6C" w:rsidP="00B96F6C">
            <w:pPr>
              <w:pStyle w:val="ListBullet2"/>
            </w:pPr>
            <w:r w:rsidRPr="00B96F6C">
              <w:t>circuit operation</w:t>
            </w:r>
          </w:p>
          <w:p w:rsidR="00000000" w:rsidRPr="00B96F6C" w:rsidP="00B96F6C">
            <w:pPr>
              <w:pStyle w:val="ListBullet2"/>
            </w:pPr>
            <w:r w:rsidRPr="00B96F6C">
              <w:t>waveforms</w:t>
            </w:r>
          </w:p>
          <w:p w:rsidR="00000000" w:rsidRPr="00B96F6C" w:rsidP="00B96F6C">
            <w:pPr>
              <w:pStyle w:val="ListBullet2"/>
            </w:pPr>
            <w:r w:rsidRPr="00B96F6C">
              <w:t>load voltage</w:t>
            </w:r>
          </w:p>
          <w:p w:rsidR="00000000" w:rsidRPr="00B96F6C" w:rsidP="00B96F6C">
            <w:pPr>
              <w:pStyle w:val="ListBullet2"/>
            </w:pPr>
            <w:r w:rsidRPr="00B96F6C">
              <w:t>applications and limitations</w:t>
            </w:r>
          </w:p>
          <w:p w:rsidR="00000000" w:rsidRPr="00B96F6C" w:rsidP="00B96F6C">
            <w:pPr>
              <w:pStyle w:val="ListBullet2"/>
            </w:pPr>
            <w:r w:rsidRPr="00B96F6C">
              <w:t>problems associated with phase shift control</w:t>
            </w:r>
          </w:p>
          <w:p w:rsidR="00000000" w:rsidRPr="00B96F6C" w:rsidP="00B96F6C">
            <w:pPr>
              <w:pStyle w:val="ListBullet"/>
            </w:pPr>
            <w:r w:rsidRPr="00B96F6C">
              <w:t>full wave-controlled bridge rectification including:</w:t>
            </w:r>
          </w:p>
          <w:p w:rsidR="00000000" w:rsidRPr="00B96F6C" w:rsidP="00B96F6C">
            <w:pPr>
              <w:pStyle w:val="ListBullet2"/>
            </w:pPr>
            <w:r w:rsidRPr="00B96F6C">
              <w:t>single phase full wave-controlled bridge rectifier circuit</w:t>
            </w:r>
          </w:p>
          <w:p w:rsidR="00000000" w:rsidRPr="00B96F6C" w:rsidP="00B96F6C">
            <w:pPr>
              <w:pStyle w:val="ListBullet2"/>
            </w:pPr>
            <w:r w:rsidRPr="00B96F6C">
              <w:t>output voltage</w:t>
            </w:r>
          </w:p>
          <w:p w:rsidR="00000000" w:rsidRPr="00B96F6C" w:rsidP="00B96F6C">
            <w:pPr>
              <w:pStyle w:val="ListBullet2"/>
            </w:pPr>
            <w:r w:rsidRPr="00B96F6C">
              <w:t>output waveforms</w:t>
            </w:r>
          </w:p>
          <w:p w:rsidR="00000000" w:rsidRPr="00B96F6C" w:rsidP="00B96F6C">
            <w:pPr>
              <w:pStyle w:val="ListBullet2"/>
            </w:pPr>
            <w:r w:rsidRPr="00B96F6C">
              <w:t>applications and limitations</w:t>
            </w:r>
          </w:p>
          <w:p w:rsidR="00000000" w:rsidRPr="00B96F6C" w:rsidP="00B96F6C">
            <w:pPr>
              <w:pStyle w:val="ListBullet2"/>
            </w:pPr>
            <w:r w:rsidRPr="00B96F6C">
              <w:t>advanta</w:t>
            </w:r>
            <w:r w:rsidRPr="00B96F6C">
              <w:t>ges and disadvantages</w:t>
            </w:r>
          </w:p>
          <w:p w:rsidR="00000000" w:rsidRPr="00B96F6C" w:rsidP="00B96F6C">
            <w:pPr>
              <w:pStyle w:val="ListBullet"/>
            </w:pPr>
            <w:r w:rsidRPr="00B96F6C">
              <w:t>fully controlled bridge rectification, including:</w:t>
            </w:r>
          </w:p>
          <w:p w:rsidR="00000000" w:rsidRPr="00B96F6C" w:rsidP="00B96F6C">
            <w:pPr>
              <w:pStyle w:val="ListBullet2"/>
            </w:pPr>
            <w:r w:rsidRPr="00B96F6C">
              <w:t>single phase fully controlled rectifier bridge circuit</w:t>
            </w:r>
          </w:p>
          <w:p w:rsidR="00000000" w:rsidRPr="00B96F6C" w:rsidP="00B96F6C">
            <w:pPr>
              <w:pStyle w:val="ListBullet2"/>
            </w:pPr>
            <w:r w:rsidRPr="00B96F6C">
              <w:t>output voltage</w:t>
            </w:r>
          </w:p>
          <w:p w:rsidR="00000000" w:rsidRPr="00B96F6C" w:rsidP="00B96F6C">
            <w:pPr>
              <w:pStyle w:val="ListBullet2"/>
            </w:pPr>
            <w:r w:rsidRPr="00B96F6C">
              <w:t>output waveforms</w:t>
            </w:r>
          </w:p>
          <w:p w:rsidR="00000000" w:rsidRPr="00B96F6C" w:rsidP="00B96F6C">
            <w:pPr>
              <w:pStyle w:val="ListBullet2"/>
            </w:pPr>
            <w:r w:rsidRPr="00B96F6C">
              <w:t>applications and limitations</w:t>
            </w:r>
          </w:p>
          <w:p w:rsidR="00000000" w:rsidRPr="00B96F6C" w:rsidP="00B96F6C">
            <w:pPr>
              <w:pStyle w:val="ListBullet2"/>
            </w:pPr>
            <w:r w:rsidRPr="00B96F6C">
              <w:t>advantages and disadvantages</w:t>
            </w:r>
          </w:p>
          <w:p w:rsidR="00000000" w:rsidRPr="00B96F6C" w:rsidP="00B96F6C">
            <w:pPr>
              <w:pStyle w:val="ListBullet"/>
            </w:pPr>
            <w:r w:rsidRPr="00B96F6C">
              <w:t>single phase alternating current (a.c.) voltage control, including:</w:t>
            </w:r>
          </w:p>
          <w:p w:rsidR="00000000" w:rsidRPr="00B96F6C" w:rsidP="00B96F6C">
            <w:pPr>
              <w:pStyle w:val="ListBullet2"/>
            </w:pPr>
            <w:r w:rsidRPr="00B96F6C">
              <w:t>phase control of a.c. power</w:t>
            </w:r>
          </w:p>
          <w:p w:rsidR="00000000" w:rsidRPr="00B96F6C" w:rsidP="00B96F6C">
            <w:pPr>
              <w:pStyle w:val="ListBullet2"/>
            </w:pPr>
            <w:r w:rsidRPr="00B96F6C">
              <w:t>circuit configurations - half and full control circuits</w:t>
            </w:r>
          </w:p>
          <w:p w:rsidR="00000000" w:rsidRPr="00B96F6C" w:rsidP="00B96F6C">
            <w:pPr>
              <w:pStyle w:val="ListBullet2"/>
            </w:pPr>
            <w:r w:rsidRPr="00B96F6C">
              <w:t>triggering circuits</w:t>
            </w:r>
          </w:p>
          <w:p w:rsidR="00000000" w:rsidRPr="00B96F6C" w:rsidP="00B96F6C">
            <w:pPr>
              <w:pStyle w:val="ListBullet2"/>
            </w:pPr>
            <w:r w:rsidRPr="00B96F6C">
              <w:t>circuit performance and operation on resistive and inductive loads</w:t>
            </w:r>
          </w:p>
          <w:p w:rsidR="00000000" w:rsidRPr="00B96F6C" w:rsidP="00B96F6C">
            <w:pPr>
              <w:pStyle w:val="ListBullet2"/>
            </w:pPr>
            <w:r w:rsidRPr="00B96F6C">
              <w:t>output voltage a</w:t>
            </w:r>
            <w:r w:rsidRPr="00B96F6C">
              <w:t>nd waveform, determination of output voltage using circuit characteristics</w:t>
            </w:r>
          </w:p>
          <w:p w:rsidR="00000000" w:rsidRPr="00B96F6C" w:rsidP="00B96F6C">
            <w:pPr>
              <w:pStyle w:val="ListBullet2"/>
            </w:pPr>
            <w:r w:rsidRPr="00B96F6C">
              <w:t>range of control with inductive loads</w:t>
            </w:r>
          </w:p>
          <w:p w:rsidR="00000000" w:rsidRPr="00B96F6C" w:rsidP="00B96F6C">
            <w:pPr>
              <w:pStyle w:val="ListBullet2"/>
            </w:pPr>
            <w:r w:rsidRPr="00B96F6C">
              <w:t>triggering problems associated with inductive loads</w:t>
            </w:r>
          </w:p>
          <w:p w:rsidR="00000000" w:rsidRPr="00B96F6C" w:rsidP="00B96F6C">
            <w:pPr>
              <w:pStyle w:val="ListBullet2"/>
            </w:pPr>
            <w:r w:rsidRPr="00B96F6C">
              <w:t>applications and limitations</w:t>
            </w:r>
          </w:p>
          <w:p w:rsidR="00000000" w:rsidRPr="00B96F6C" w:rsidP="00B96F6C">
            <w:pPr>
              <w:pStyle w:val="ListBullet"/>
            </w:pPr>
            <w:r w:rsidRPr="00B96F6C">
              <w:t>zero voltage switching (ZVS), including:</w:t>
            </w:r>
          </w:p>
          <w:p w:rsidR="00000000" w:rsidRPr="00B96F6C" w:rsidP="00B96F6C">
            <w:pPr>
              <w:pStyle w:val="ListBullet2"/>
            </w:pPr>
            <w:r w:rsidRPr="00B96F6C">
              <w:t>operating principles</w:t>
            </w:r>
          </w:p>
          <w:p w:rsidR="00000000" w:rsidRPr="00B96F6C" w:rsidP="00B96F6C">
            <w:pPr>
              <w:pStyle w:val="ListBullet2"/>
            </w:pPr>
            <w:r w:rsidRPr="00B96F6C">
              <w:t>circuit configuration, including trigger circuits</w:t>
            </w:r>
          </w:p>
          <w:p w:rsidR="00000000" w:rsidRPr="00B96F6C" w:rsidP="00B96F6C">
            <w:pPr>
              <w:pStyle w:val="ListBullet2"/>
            </w:pPr>
            <w:r w:rsidRPr="00B96F6C">
              <w:t>circuit operation and waveforms resistive loads only</w:t>
            </w:r>
          </w:p>
          <w:p w:rsidR="00000000" w:rsidRPr="00B96F6C" w:rsidP="00B96F6C">
            <w:pPr>
              <w:pStyle w:val="ListBullet2"/>
            </w:pPr>
            <w:r w:rsidRPr="00B96F6C">
              <w:t>relationship between load power and conduction time</w:t>
            </w:r>
          </w:p>
          <w:p w:rsidR="00000000" w:rsidRPr="00B96F6C" w:rsidP="00B96F6C">
            <w:pPr>
              <w:pStyle w:val="ListBullet2"/>
            </w:pPr>
            <w:r w:rsidRPr="00B96F6C">
              <w:t>solid state relays: types and ratings</w:t>
            </w:r>
          </w:p>
          <w:p w:rsidR="00000000" w:rsidRPr="00B96F6C" w:rsidP="00B96F6C">
            <w:pPr>
              <w:pStyle w:val="ListBullet2"/>
            </w:pPr>
            <w:r w:rsidRPr="00B96F6C">
              <w:t>applications and limitations</w:t>
            </w:r>
          </w:p>
          <w:p w:rsidR="00000000" w:rsidRPr="00B96F6C" w:rsidP="00B96F6C">
            <w:pPr>
              <w:pStyle w:val="ListBullet"/>
            </w:pPr>
            <w:r w:rsidRPr="00B96F6C">
              <w:t>fault findin</w:t>
            </w:r>
            <w:r w:rsidRPr="00B96F6C">
              <w:t>g of power control circuits, including:</w:t>
            </w:r>
          </w:p>
          <w:p w:rsidR="00000000" w:rsidRPr="00B96F6C" w:rsidP="00B96F6C">
            <w:pPr>
              <w:pStyle w:val="ListBullet2"/>
            </w:pPr>
            <w:r w:rsidRPr="00B96F6C">
              <w:t>fault-finding procedures</w:t>
            </w:r>
          </w:p>
          <w:p w:rsidR="00000000" w:rsidRPr="00B96F6C" w:rsidP="00B96F6C">
            <w:pPr>
              <w:pStyle w:val="ListBullet2"/>
            </w:pPr>
            <w:r w:rsidRPr="00B96F6C">
              <w:t>typical faults power and trigger circuits</w:t>
            </w:r>
          </w:p>
          <w:p w:rsidR="00000000" w:rsidRPr="00B96F6C" w:rsidP="00B96F6C">
            <w:pPr>
              <w:pStyle w:val="ListBullet2"/>
            </w:pPr>
            <w:r w:rsidRPr="00B96F6C">
              <w:t>characteristics displayed by common faults</w:t>
            </w:r>
          </w:p>
          <w:p w:rsidR="00000000" w:rsidRPr="00B96F6C" w:rsidP="00B96F6C">
            <w:pPr>
              <w:pStyle w:val="ListBullet2"/>
            </w:pPr>
            <w:r w:rsidRPr="00B96F6C">
              <w:t>comparison of test data with expected data (voltage/current waveforms)</w:t>
            </w:r>
          </w:p>
          <w:p w:rsidR="00000000" w:rsidRPr="00B96F6C" w:rsidP="00B96F6C">
            <w:pPr>
              <w:pStyle w:val="ListBullet2"/>
            </w:pPr>
            <w:r w:rsidRPr="00B96F6C">
              <w:t>location and replacement of faulty</w:t>
            </w:r>
            <w:r w:rsidRPr="00B96F6C">
              <w:t xml:space="preserve"> components</w:t>
            </w:r>
          </w:p>
          <w:p w:rsidR="00000000" w:rsidRPr="00B96F6C" w:rsidP="00B96F6C">
            <w:pPr>
              <w:pStyle w:val="ListBullet"/>
            </w:pPr>
            <w:r w:rsidRPr="00B96F6C">
              <w:t xml:space="preserve">job safety assessments or risk mitigation processes, including risk control measures </w:t>
            </w:r>
          </w:p>
          <w:p w:rsidR="00000000" w:rsidRPr="00B96F6C" w:rsidP="00B96F6C">
            <w:pPr>
              <w:pStyle w:val="ListBullet"/>
            </w:pPr>
            <w:r w:rsidRPr="00B96F6C">
              <w:t>relevant manufacturer specifications</w:t>
            </w:r>
          </w:p>
          <w:p w:rsidR="00000000" w:rsidRPr="00B96F6C" w:rsidP="00B96F6C">
            <w:pPr>
              <w:pStyle w:val="ListBullet"/>
            </w:pPr>
            <w:r w:rsidRPr="00B96F6C">
              <w:t>relevant tools, equipment and testing devices</w:t>
            </w:r>
          </w:p>
          <w:p w:rsidR="00000000" w:rsidRPr="00B96F6C" w:rsidP="00B96F6C">
            <w:pPr>
              <w:pStyle w:val="ListBullet"/>
            </w:pPr>
            <w:r w:rsidRPr="00B96F6C">
              <w:t>relevant WHS/OHS legislated requirements</w:t>
            </w:r>
          </w:p>
          <w:p w:rsidR="00000000" w:rsidRPr="00B96F6C" w:rsidP="00B96F6C">
            <w:pPr>
              <w:pStyle w:val="ListBullet"/>
            </w:pPr>
            <w:r w:rsidRPr="00B96F6C">
              <w:t>relevant workplace documentation</w:t>
            </w:r>
          </w:p>
          <w:p w:rsidR="00000000" w:rsidRPr="00B96F6C" w:rsidP="00B96F6C">
            <w:pPr>
              <w:pStyle w:val="ListBullet"/>
            </w:pPr>
            <w:r w:rsidRPr="00B96F6C">
              <w:t>relevant workplace policies and procedures</w:t>
            </w:r>
          </w:p>
          <w:p w:rsidR="00000000" w:rsidRPr="00B96F6C" w:rsidP="00B96F6C">
            <w:pPr>
              <w:pStyle w:val="ListBullet"/>
            </w:pPr>
            <w:r w:rsidRPr="00B96F6C">
              <w:t>single phase electronic power control circuits</w:t>
            </w:r>
          </w:p>
          <w:p w:rsidR="00000000" w:rsidRPr="00B96F6C" w:rsidP="00B96F6C">
            <w:pPr>
              <w:pStyle w:val="ListBullet"/>
            </w:pPr>
            <w:r w:rsidRPr="00B96F6C">
              <w:t>solutions to single phase electronic power control problems</w:t>
            </w:r>
          </w:p>
          <w:p w:rsidR="00000000" w:rsidRPr="00B96F6C" w:rsidP="00B96F6C">
            <w:pPr>
              <w:pStyle w:val="ListBullet"/>
            </w:pPr>
            <w:r w:rsidRPr="00B96F6C">
              <w:t>sustainable energy principles and practices.</w:t>
            </w:r>
          </w:p>
        </w:tc>
      </w:tr>
    </w:tbl>
    <w:p w:rsidR="00000000" w:rsidRPr="00B96F6C" w:rsidP="00B96F6C">
      <w:pPr>
        <w:pStyle w:val="NoPaddingFontSize1"/>
      </w:pPr>
    </w:p>
    <w:p w:rsidR="00000000" w:rsidRPr="00B96F6C" w:rsidP="00B96F6C">
      <w:pPr>
        <w:pStyle w:val="AllowPageBreak"/>
      </w:pPr>
    </w:p>
    <w:p w:rsidR="00000000" w:rsidRPr="00B96F6C" w:rsidP="00B96F6C">
      <w:pPr>
        <w:pStyle w:val="Heading1"/>
      </w:pPr>
      <w:bookmarkStart w:id="4" w:name="O_1083177"/>
      <w:bookmarkEnd w:id="4"/>
      <w:r w:rsidRPr="00B96F6C">
        <w:t>Assessment Conditions</w:t>
      </w:r>
    </w:p>
    <w:tbl>
      <w:tblPr>
        <w:tblW w:w="9497" w:type="dxa"/>
        <w:tblLayout w:type="fixed"/>
        <w:tblCellMar>
          <w:left w:w="62" w:type="dxa"/>
          <w:right w:w="62" w:type="dxa"/>
        </w:tblCellMar>
        <w:tblLook w:val="0000"/>
      </w:tblPr>
      <w:tblGrid>
        <w:gridCol w:w="9497"/>
      </w:tblGrid>
      <w:tr w:rsidTr="00B96F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6F6C" w:rsidP="00B96F6C">
            <w:pPr>
              <w:pStyle w:val="BodyText"/>
            </w:pPr>
            <w:r w:rsidRPr="00B96F6C">
              <w:t>Assessors must hold credentials specified within the Standards for Registered Training Organisations current at the time of assessment.</w:t>
            </w:r>
          </w:p>
          <w:p w:rsidR="00000000" w:rsidRPr="00B96F6C" w:rsidP="00B96F6C">
            <w:pPr>
              <w:pStyle w:val="BodyText"/>
            </w:pPr>
            <w:r w:rsidRPr="00B96F6C">
              <w:t>Assessment must satisfy the Principles of Assessment and Rules of Evidence and all regulatory requirements included with</w:t>
            </w:r>
            <w:r w:rsidRPr="00B96F6C">
              <w:t>in the Standards for Registered Training Organisations current at the time of assessment.</w:t>
            </w:r>
          </w:p>
          <w:p w:rsidR="00000000" w:rsidRPr="00B96F6C" w:rsidP="00B96F6C">
            <w:pPr>
              <w:pStyle w:val="BodyText"/>
            </w:pPr>
            <w:r w:rsidRPr="00B96F6C">
              <w:t>Assessment must occur in workplace operational situations where it is appropriate to do so; where this is not appropriate, assessment must occur in simulated workplac</w:t>
            </w:r>
            <w:r w:rsidRPr="00B96F6C">
              <w:t>e operational situations that replicate workplace conditions.</w:t>
            </w:r>
          </w:p>
          <w:p w:rsidR="00000000" w:rsidRPr="00B96F6C" w:rsidP="00B96F6C">
            <w:pPr>
              <w:pStyle w:val="BodyText"/>
            </w:pPr>
            <w:r w:rsidRPr="00B96F6C">
              <w:t>Assessment processes and techniques must be appropriate to the language, literacy and numeracy requirements of the work being performed and the needs of the candidate.</w:t>
            </w:r>
          </w:p>
          <w:p w:rsidR="00000000" w:rsidRPr="00B96F6C" w:rsidP="00B96F6C">
            <w:pPr>
              <w:pStyle w:val="BodyText"/>
            </w:pPr>
            <w:r w:rsidRPr="00B96F6C">
              <w:t>Resources for assessment m</w:t>
            </w:r>
            <w:r w:rsidRPr="00B96F6C">
              <w:t>ust include access to:</w:t>
            </w:r>
          </w:p>
          <w:p w:rsidR="00000000" w:rsidRPr="00B96F6C" w:rsidP="00B96F6C">
            <w:pPr>
              <w:pStyle w:val="ListBullet"/>
            </w:pPr>
            <w:r w:rsidRPr="00B96F6C">
              <w:t>a range of relevant exercises, case studies and/or other simulations</w:t>
            </w:r>
          </w:p>
          <w:p w:rsidR="00000000" w:rsidRPr="00B96F6C" w:rsidP="00B96F6C">
            <w:pPr>
              <w:pStyle w:val="ListBullet"/>
            </w:pPr>
            <w:r w:rsidRPr="00B96F6C">
              <w:t xml:space="preserve">relevant and appropriate materials, tools, equipment and personal protective equipment (PPE) currently used in industry </w:t>
            </w:r>
          </w:p>
          <w:p w:rsidR="00000000" w:rsidRPr="00B96F6C" w:rsidP="00B96F6C">
            <w:pPr>
              <w:pStyle w:val="ListBullet"/>
            </w:pPr>
            <w:r w:rsidRPr="00B96F6C">
              <w:t>applicable documentation, including workpl</w:t>
            </w:r>
            <w:r w:rsidRPr="00B96F6C">
              <w:t>ace procedures, equipment specifications, regulations, codes of practice and operation manuals.</w:t>
            </w:r>
          </w:p>
        </w:tc>
      </w:tr>
    </w:tbl>
    <w:p w:rsidR="00000000" w:rsidRPr="00B96F6C" w:rsidP="00B96F6C">
      <w:pPr>
        <w:pStyle w:val="NoPaddingFontSize1"/>
      </w:pPr>
    </w:p>
    <w:p w:rsidR="00000000" w:rsidRPr="00B96F6C" w:rsidP="00B96F6C">
      <w:pPr>
        <w:pStyle w:val="AllowPageBreak"/>
      </w:pPr>
    </w:p>
    <w:p w:rsidR="00000000" w:rsidRPr="00B96F6C" w:rsidP="00B96F6C">
      <w:pPr>
        <w:pStyle w:val="Heading1"/>
      </w:pPr>
      <w:bookmarkStart w:id="5" w:name="O_1083180"/>
      <w:bookmarkEnd w:id="5"/>
      <w:r w:rsidRPr="00B96F6C">
        <w:t>Links</w:t>
      </w:r>
    </w:p>
    <w:p w:rsidR="00000000" w:rsidRPr="00B96F6C" w:rsidP="004D7B0E">
      <w:pPr>
        <w:pStyle w:val="BodyText"/>
      </w:pPr>
      <w:r w:rsidRPr="00B96F6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3411E">
        <w:rPr>
          <w:rStyle w:val="Hyperlink"/>
        </w:rPr>
        <w:t>https://vetnet.gov.au/Pages/TrainingDocs.aspx?q=b8a8f136-5421-4ce1-92e0-2b50341431b6</w:t>
      </w:r>
      <w:r>
        <w:fldChar w:fldCharType="end"/>
      </w:r>
    </w:p>
    <w:p w:rsidR="00000000" w:rsidRPr="00B96F6C" w:rsidP="00B96F6C"/>
    <w:sectPr w:rsidSect="00B96F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6C" w:rsidRPr="004D7B0E" w:rsidP="004D7B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0E" w:rsidP="00B96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7B0E" w:rsidP="00B96F6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D7B0E" w:rsidP="00B96F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F6C" w:rsidRPr="004D7B0E" w:rsidP="004D7B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0E" w:rsidRPr="002D2AF8" w:rsidP="00B96F6C">
    <w:pPr>
      <w:pStyle w:val="Header"/>
      <w:framePr w:wrap="around"/>
    </w:pPr>
    <w:r>
      <w:fldChar w:fldCharType="begin"/>
    </w:r>
    <w:r>
      <w:instrText xml:space="preserve"> TITLE   \* MERGEFORMAT </w:instrText>
    </w:r>
    <w:r>
      <w:fldChar w:fldCharType="separate"/>
    </w:r>
    <w:r>
      <w:t>Assessment Requirements for UEEIC0042 Solve problems in single phase electronic power control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D7B0E" w:rsidP="00B96F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B29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068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E1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F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F6C"/>
    <w:pPr>
      <w:spacing w:before="360" w:after="60"/>
      <w:outlineLvl w:val="0"/>
    </w:pPr>
    <w:rPr>
      <w:sz w:val="32"/>
    </w:rPr>
  </w:style>
  <w:style w:type="paragraph" w:styleId="Heading2">
    <w:name w:val="heading 2"/>
    <w:basedOn w:val="HeadingBase"/>
    <w:next w:val="BodyText"/>
    <w:link w:val="Heading2Char"/>
    <w:qFormat/>
    <w:rsid w:val="00B96F6C"/>
    <w:pPr>
      <w:keepLines/>
      <w:spacing w:before="240" w:after="120"/>
      <w:outlineLvl w:val="1"/>
    </w:pPr>
    <w:rPr>
      <w:sz w:val="28"/>
      <w:szCs w:val="40"/>
    </w:rPr>
  </w:style>
  <w:style w:type="paragraph" w:styleId="Heading3">
    <w:name w:val="heading 3"/>
    <w:basedOn w:val="HeadingBase"/>
    <w:next w:val="BodyText"/>
    <w:link w:val="Heading3Char"/>
    <w:qFormat/>
    <w:rsid w:val="00B96F6C"/>
    <w:pPr>
      <w:spacing w:before="180" w:after="120"/>
      <w:outlineLvl w:val="2"/>
    </w:pPr>
    <w:rPr>
      <w:spacing w:val="-10"/>
      <w:kern w:val="32"/>
    </w:rPr>
  </w:style>
  <w:style w:type="paragraph" w:styleId="Heading4">
    <w:name w:val="heading 4"/>
    <w:basedOn w:val="HeadingBase"/>
    <w:next w:val="BodyText"/>
    <w:link w:val="Heading4Char"/>
    <w:qFormat/>
    <w:rsid w:val="00B96F6C"/>
    <w:pPr>
      <w:spacing w:before="160" w:after="120"/>
      <w:outlineLvl w:val="3"/>
    </w:pPr>
    <w:rPr>
      <w:sz w:val="22"/>
    </w:rPr>
  </w:style>
  <w:style w:type="paragraph" w:styleId="Heading5">
    <w:name w:val="heading 5"/>
    <w:basedOn w:val="HeadingBase"/>
    <w:next w:val="Normal"/>
    <w:link w:val="Heading5Char"/>
    <w:qFormat/>
    <w:rsid w:val="00B96F6C"/>
    <w:pPr>
      <w:spacing w:before="80"/>
      <w:outlineLvl w:val="4"/>
    </w:pPr>
    <w:rPr>
      <w:color w:val="918585"/>
      <w:sz w:val="20"/>
    </w:rPr>
  </w:style>
  <w:style w:type="paragraph" w:styleId="Heading6">
    <w:name w:val="heading 6"/>
    <w:basedOn w:val="HeadingBase"/>
    <w:next w:val="Normal"/>
    <w:link w:val="Heading6Char"/>
    <w:qFormat/>
    <w:rsid w:val="00B96F6C"/>
    <w:pPr>
      <w:spacing w:before="60"/>
      <w:outlineLvl w:val="5"/>
    </w:pPr>
    <w:rPr>
      <w:color w:val="918585"/>
      <w:sz w:val="20"/>
    </w:rPr>
  </w:style>
  <w:style w:type="paragraph" w:styleId="Heading7">
    <w:name w:val="heading 7"/>
    <w:basedOn w:val="Normal"/>
    <w:next w:val="Normal"/>
    <w:link w:val="Heading7Char"/>
    <w:qFormat/>
    <w:rsid w:val="00B96F6C"/>
    <w:pPr>
      <w:ind w:left="720"/>
      <w:outlineLvl w:val="6"/>
    </w:pPr>
    <w:rPr>
      <w:i/>
    </w:rPr>
  </w:style>
  <w:style w:type="paragraph" w:styleId="Heading8">
    <w:name w:val="heading 8"/>
    <w:basedOn w:val="Normal"/>
    <w:next w:val="Normal"/>
    <w:link w:val="Heading8Char"/>
    <w:qFormat/>
    <w:rsid w:val="00B96F6C"/>
    <w:pPr>
      <w:ind w:left="720"/>
      <w:outlineLvl w:val="7"/>
    </w:pPr>
    <w:rPr>
      <w:i/>
    </w:rPr>
  </w:style>
  <w:style w:type="paragraph" w:styleId="Heading9">
    <w:name w:val="heading 9"/>
    <w:basedOn w:val="Normal"/>
    <w:next w:val="Normal"/>
    <w:link w:val="Heading9Char"/>
    <w:qFormat/>
    <w:rsid w:val="00B96F6C"/>
    <w:pPr>
      <w:ind w:left="720"/>
      <w:outlineLvl w:val="8"/>
    </w:pPr>
    <w:rPr>
      <w:i/>
    </w:rPr>
  </w:style>
  <w:style w:type="character" w:default="1" w:styleId="DefaultParagraphFont">
    <w:name w:val="Default Paragraph Font"/>
    <w:uiPriority w:val="1"/>
    <w:unhideWhenUsed/>
    <w:rsid w:val="00B96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F6C"/>
  </w:style>
  <w:style w:type="character" w:customStyle="1" w:styleId="Heading1Char">
    <w:name w:val="Heading 1 Char"/>
    <w:basedOn w:val="DefaultParagraphFont"/>
    <w:link w:val="Heading1"/>
    <w:rsid w:val="00B96F6C"/>
    <w:rPr>
      <w:rFonts w:ascii="Times New Roman" w:eastAsia="Times New Roman" w:hAnsi="Times New Roman" w:cs="Times New Roman"/>
      <w:b/>
      <w:sz w:val="32"/>
      <w:szCs w:val="20"/>
      <w:lang w:eastAsia="en-US"/>
    </w:rPr>
  </w:style>
  <w:style w:type="paragraph" w:styleId="BodyText">
    <w:name w:val="Body Text"/>
    <w:basedOn w:val="Normal"/>
    <w:link w:val="BodyTextChar"/>
    <w:rsid w:val="00B96F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F6C"/>
    <w:rPr>
      <w:rFonts w:ascii="Times New Roman" w:eastAsia="Times New Roman" w:hAnsi="Times New Roman" w:cs="Times New Roman"/>
      <w:sz w:val="24"/>
      <w:lang w:eastAsia="en-US"/>
    </w:rPr>
  </w:style>
  <w:style w:type="paragraph" w:styleId="ListBullet">
    <w:name w:val="List Bullet"/>
    <w:basedOn w:val="List"/>
    <w:rsid w:val="00B96F6C"/>
    <w:pPr>
      <w:numPr>
        <w:numId w:val="12"/>
      </w:numPr>
      <w:tabs>
        <w:tab w:val="clear" w:pos="340"/>
      </w:tabs>
      <w:spacing w:before="40" w:after="40"/>
    </w:pPr>
  </w:style>
  <w:style w:type="paragraph" w:styleId="ListBullet2">
    <w:name w:val="List Bullet 2"/>
    <w:basedOn w:val="List2"/>
    <w:rsid w:val="00B96F6C"/>
    <w:pPr>
      <w:numPr>
        <w:numId w:val="13"/>
      </w:numPr>
      <w:tabs>
        <w:tab w:val="clear" w:pos="680"/>
      </w:tabs>
    </w:pPr>
  </w:style>
  <w:style w:type="paragraph" w:customStyle="1" w:styleId="SuperHeading">
    <w:name w:val="SuperHeading"/>
    <w:basedOn w:val="Normal"/>
    <w:rsid w:val="00B96F6C"/>
    <w:pPr>
      <w:spacing w:before="240" w:after="120"/>
      <w:outlineLvl w:val="0"/>
    </w:pPr>
    <w:rPr>
      <w:rFonts w:ascii="Times New Roman" w:hAnsi="Times New Roman"/>
      <w:b/>
      <w:sz w:val="32"/>
    </w:rPr>
  </w:style>
  <w:style w:type="paragraph" w:customStyle="1" w:styleId="AllowPageBreak">
    <w:name w:val="AllowPageBreak"/>
    <w:rsid w:val="00B96F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6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F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F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F6C"/>
    <w:rPr>
      <w:rFonts w:ascii="Courier New" w:eastAsia="Times New Roman" w:hAnsi="Courier New" w:cs="Times New Roman"/>
      <w:i/>
      <w:szCs w:val="20"/>
      <w:lang w:eastAsia="en-US"/>
    </w:rPr>
  </w:style>
  <w:style w:type="paragraph" w:customStyle="1" w:styleId="HeadingBase">
    <w:name w:val="Heading Base"/>
    <w:rsid w:val="00B96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F6C"/>
    <w:pPr>
      <w:tabs>
        <w:tab w:val="right" w:leader="dot" w:pos="9072"/>
      </w:tabs>
      <w:ind w:left="567"/>
    </w:pPr>
    <w:rPr>
      <w:szCs w:val="22"/>
    </w:rPr>
  </w:style>
  <w:style w:type="paragraph" w:customStyle="1" w:styleId="TOCBase">
    <w:name w:val="TOC Base"/>
    <w:rsid w:val="00B96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F6C"/>
    <w:pPr>
      <w:tabs>
        <w:tab w:val="right" w:leader="dot" w:pos="9072"/>
      </w:tabs>
      <w:spacing w:before="40" w:after="40"/>
      <w:ind w:left="284"/>
    </w:pPr>
    <w:rPr>
      <w:rFonts w:ascii="Times New Roman" w:hAnsi="Times New Roman"/>
    </w:rPr>
  </w:style>
  <w:style w:type="paragraph" w:styleId="TOC1">
    <w:name w:val="toc 1"/>
    <w:basedOn w:val="TOCBase"/>
    <w:next w:val="Normal"/>
    <w:rsid w:val="00B96F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F6C"/>
    <w:rPr>
      <w:rFonts w:ascii="Times New Roman" w:eastAsia="Times New Roman" w:hAnsi="Times New Roman" w:cs="Times New Roman"/>
      <w:sz w:val="16"/>
      <w:lang w:eastAsia="en-US"/>
    </w:rPr>
  </w:style>
  <w:style w:type="paragraph" w:styleId="Title">
    <w:name w:val="Title"/>
    <w:basedOn w:val="HeadingBase"/>
    <w:link w:val="TitleChar"/>
    <w:qFormat/>
    <w:rsid w:val="00B96F6C"/>
    <w:pPr>
      <w:spacing w:before="5040"/>
      <w:jc w:val="center"/>
    </w:pPr>
    <w:rPr>
      <w:sz w:val="48"/>
      <w:szCs w:val="72"/>
      <w:lang w:val="en-US"/>
    </w:rPr>
  </w:style>
  <w:style w:type="character" w:customStyle="1" w:styleId="TitleChar">
    <w:name w:val="Title Char"/>
    <w:basedOn w:val="DefaultParagraphFont"/>
    <w:link w:val="Title"/>
    <w:rsid w:val="00B96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F6C"/>
    <w:pPr>
      <w:tabs>
        <w:tab w:val="left" w:pos="3600"/>
        <w:tab w:val="left" w:pos="3958"/>
      </w:tabs>
    </w:pPr>
  </w:style>
  <w:style w:type="paragraph" w:styleId="List">
    <w:name w:val="List"/>
    <w:basedOn w:val="BodyText"/>
    <w:next w:val="BodyText"/>
    <w:rsid w:val="00B96F6C"/>
    <w:pPr>
      <w:tabs>
        <w:tab w:val="left" w:pos="340"/>
      </w:tabs>
      <w:spacing w:before="60" w:after="60"/>
      <w:ind w:left="340" w:hanging="340"/>
    </w:pPr>
  </w:style>
  <w:style w:type="paragraph" w:customStyle="1" w:styleId="Note">
    <w:name w:val="Note"/>
    <w:basedOn w:val="BodyText"/>
    <w:rsid w:val="00B96F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6F6C"/>
    <w:rPr>
      <w:b/>
      <w:spacing w:val="0"/>
    </w:rPr>
  </w:style>
  <w:style w:type="paragraph" w:customStyle="1" w:styleId="SuperTitle">
    <w:name w:val="SuperTitle"/>
    <w:basedOn w:val="Title"/>
    <w:rsid w:val="00B96F6C"/>
    <w:pPr>
      <w:framePr w:wrap="auto" w:hAnchor="text" w:y="6049"/>
    </w:pPr>
    <w:rPr>
      <w:color w:val="000000"/>
      <w:sz w:val="40"/>
    </w:rPr>
  </w:style>
  <w:style w:type="paragraph" w:customStyle="1" w:styleId="TOCTitle">
    <w:name w:val="TOCTitle"/>
    <w:basedOn w:val="Heading1"/>
    <w:rsid w:val="00B96F6C"/>
    <w:pPr>
      <w:spacing w:after="240"/>
      <w:jc w:val="center"/>
      <w:outlineLvl w:val="9"/>
    </w:pPr>
    <w:rPr>
      <w:caps/>
    </w:rPr>
  </w:style>
  <w:style w:type="paragraph" w:customStyle="1" w:styleId="Version">
    <w:name w:val="Version"/>
    <w:rsid w:val="00B96F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F6C"/>
    <w:pPr>
      <w:keepNext w:val="0"/>
      <w:tabs>
        <w:tab w:val="right" w:pos="4176"/>
      </w:tabs>
      <w:ind w:left="198" w:hanging="198"/>
    </w:pPr>
    <w:rPr>
      <w:rFonts w:ascii="Garamond" w:hAnsi="Garamond"/>
    </w:rPr>
  </w:style>
  <w:style w:type="paragraph" w:styleId="IndexHeading">
    <w:name w:val="index heading"/>
    <w:basedOn w:val="Normal"/>
    <w:next w:val="Index1"/>
    <w:semiHidden/>
    <w:rsid w:val="00B96F6C"/>
    <w:pPr>
      <w:spacing w:before="120" w:after="120"/>
    </w:pPr>
    <w:rPr>
      <w:rFonts w:ascii="Arial" w:hAnsi="Arial"/>
      <w:b/>
      <w:color w:val="918585"/>
      <w:sz w:val="24"/>
    </w:rPr>
  </w:style>
  <w:style w:type="paragraph" w:styleId="Header">
    <w:name w:val="header"/>
    <w:basedOn w:val="Normal"/>
    <w:link w:val="HeaderChar"/>
    <w:rsid w:val="00B96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F6C"/>
    <w:rPr>
      <w:rFonts w:ascii="Times New Roman" w:eastAsia="Times New Roman" w:hAnsi="Times New Roman" w:cs="Times New Roman"/>
      <w:sz w:val="16"/>
      <w:szCs w:val="20"/>
      <w:lang w:val="en-GB" w:eastAsia="en-US"/>
    </w:rPr>
  </w:style>
  <w:style w:type="paragraph" w:customStyle="1" w:styleId="Chapter">
    <w:name w:val="Chapter"/>
    <w:basedOn w:val="Normal"/>
    <w:rsid w:val="00B96F6C"/>
    <w:pPr>
      <w:spacing w:before="240"/>
    </w:pPr>
    <w:rPr>
      <w:rFonts w:ascii="Times New Roman" w:hAnsi="Times New Roman"/>
      <w:smallCaps/>
      <w:spacing w:val="80"/>
      <w:sz w:val="28"/>
    </w:rPr>
  </w:style>
  <w:style w:type="paragraph" w:customStyle="1" w:styleId="InChapter">
    <w:name w:val="InChapter"/>
    <w:basedOn w:val="Heading3"/>
    <w:rsid w:val="00B96F6C"/>
    <w:pPr>
      <w:spacing w:after="240"/>
      <w:outlineLvl w:val="9"/>
    </w:pPr>
    <w:rPr>
      <w:noProof/>
    </w:rPr>
  </w:style>
  <w:style w:type="paragraph" w:styleId="Index2">
    <w:name w:val="index 2"/>
    <w:basedOn w:val="Normal"/>
    <w:next w:val="Normal"/>
    <w:semiHidden/>
    <w:rsid w:val="00B96F6C"/>
    <w:pPr>
      <w:tabs>
        <w:tab w:val="right" w:pos="4176"/>
      </w:tabs>
      <w:ind w:left="568" w:hanging="284"/>
    </w:pPr>
    <w:rPr>
      <w:rFonts w:ascii="Garamond" w:hAnsi="Garamond"/>
    </w:rPr>
  </w:style>
  <w:style w:type="paragraph" w:customStyle="1" w:styleId="Byline">
    <w:name w:val="Byline"/>
    <w:rsid w:val="00B96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F6C"/>
    <w:pPr>
      <w:tabs>
        <w:tab w:val="clear" w:pos="3600"/>
        <w:tab w:val="clear" w:pos="3958"/>
      </w:tabs>
      <w:jc w:val="right"/>
    </w:pPr>
  </w:style>
  <w:style w:type="character" w:styleId="Emphasis">
    <w:name w:val="Emphasis"/>
    <w:basedOn w:val="DefaultParagraphFont"/>
    <w:qFormat/>
    <w:rsid w:val="00B96F6C"/>
    <w:rPr>
      <w:i/>
    </w:rPr>
  </w:style>
  <w:style w:type="paragraph" w:styleId="Caption">
    <w:name w:val="caption"/>
    <w:basedOn w:val="BodyText"/>
    <w:next w:val="Normal"/>
    <w:qFormat/>
    <w:rsid w:val="00B96F6C"/>
    <w:pPr>
      <w:framePr w:w="2268" w:hSpace="181" w:vSpace="181" w:wrap="around" w:vAnchor="text" w:hAnchor="page" w:x="1135" w:y="285" w:anchorLock="1"/>
    </w:pPr>
    <w:rPr>
      <w:i/>
    </w:rPr>
  </w:style>
  <w:style w:type="paragraph" w:customStyle="1" w:styleId="MiniTOCTitle">
    <w:name w:val="MiniTOCTitle"/>
    <w:basedOn w:val="Heading4"/>
    <w:rsid w:val="00B96F6C"/>
    <w:pPr>
      <w:spacing w:before="240"/>
      <w:outlineLvl w:val="9"/>
    </w:pPr>
    <w:rPr>
      <w:noProof/>
      <w:sz w:val="24"/>
    </w:rPr>
  </w:style>
  <w:style w:type="paragraph" w:customStyle="1" w:styleId="MiniTOCItem">
    <w:name w:val="MiniTOCItem"/>
    <w:basedOn w:val="ListBullet"/>
    <w:rsid w:val="00B96F6C"/>
    <w:pPr>
      <w:numPr>
        <w:numId w:val="0"/>
      </w:numPr>
      <w:tabs>
        <w:tab w:val="right" w:leader="dot" w:pos="6521"/>
      </w:tabs>
      <w:spacing w:before="0" w:after="0"/>
    </w:pPr>
  </w:style>
  <w:style w:type="paragraph" w:customStyle="1" w:styleId="TOFTitle">
    <w:name w:val="TOFTitle"/>
    <w:basedOn w:val="TOCTitle"/>
    <w:rsid w:val="00B96F6C"/>
  </w:style>
  <w:style w:type="paragraph" w:styleId="TableofFigures">
    <w:name w:val="table of figures"/>
    <w:basedOn w:val="Normal"/>
    <w:next w:val="Normal"/>
    <w:semiHidden/>
    <w:rsid w:val="00B96F6C"/>
    <w:pPr>
      <w:tabs>
        <w:tab w:val="right" w:leader="dot" w:pos="9072"/>
      </w:tabs>
      <w:ind w:left="970" w:hanging="403"/>
    </w:pPr>
    <w:rPr>
      <w:rFonts w:ascii="Times New Roman" w:hAnsi="Times New Roman"/>
      <w:b/>
    </w:rPr>
  </w:style>
  <w:style w:type="paragraph" w:styleId="ListNumber">
    <w:name w:val="List Number"/>
    <w:basedOn w:val="List"/>
    <w:rsid w:val="00B96F6C"/>
    <w:pPr>
      <w:numPr>
        <w:numId w:val="15"/>
      </w:numPr>
      <w:tabs>
        <w:tab w:val="clear" w:pos="340"/>
      </w:tabs>
    </w:pPr>
  </w:style>
  <w:style w:type="character" w:customStyle="1" w:styleId="WingdingSymbols">
    <w:name w:val="Wingding Symbols"/>
    <w:rsid w:val="00B96F6C"/>
    <w:rPr>
      <w:rFonts w:ascii="Wingdings" w:hAnsi="Wingdings"/>
    </w:rPr>
  </w:style>
  <w:style w:type="paragraph" w:customStyle="1" w:styleId="TableHeading">
    <w:name w:val="Table Heading"/>
    <w:basedOn w:val="HeadingBase"/>
    <w:rsid w:val="00B96F6C"/>
    <w:pPr>
      <w:keepLines/>
      <w:pBdr>
        <w:bottom w:val="single" w:sz="6" w:space="1" w:color="918585"/>
      </w:pBdr>
      <w:spacing w:before="240"/>
    </w:pPr>
  </w:style>
  <w:style w:type="character" w:customStyle="1" w:styleId="HotSpot">
    <w:name w:val="HotSpot"/>
    <w:rsid w:val="00B96F6C"/>
    <w:rPr>
      <w:color w:val="0033CC"/>
      <w:u w:val="none"/>
    </w:rPr>
  </w:style>
  <w:style w:type="paragraph" w:customStyle="1" w:styleId="BodyTextRight">
    <w:name w:val="Body Text Right"/>
    <w:basedOn w:val="BodyText"/>
    <w:rsid w:val="00B96F6C"/>
    <w:pPr>
      <w:spacing w:before="0" w:after="0"/>
      <w:jc w:val="right"/>
    </w:pPr>
  </w:style>
  <w:style w:type="paragraph" w:styleId="Index3">
    <w:name w:val="index 3"/>
    <w:basedOn w:val="ListNumber2"/>
    <w:next w:val="Normal"/>
    <w:semiHidden/>
    <w:rsid w:val="00B96F6C"/>
    <w:pPr>
      <w:numPr>
        <w:numId w:val="0"/>
      </w:numPr>
      <w:tabs>
        <w:tab w:val="right" w:leader="dot" w:pos="4176"/>
      </w:tabs>
    </w:pPr>
  </w:style>
  <w:style w:type="paragraph" w:styleId="ListNumber2">
    <w:name w:val="List Number 2"/>
    <w:basedOn w:val="List2"/>
    <w:rsid w:val="00B96F6C"/>
    <w:pPr>
      <w:numPr>
        <w:numId w:val="10"/>
      </w:numPr>
      <w:tabs>
        <w:tab w:val="clear" w:pos="1060"/>
      </w:tabs>
    </w:pPr>
  </w:style>
  <w:style w:type="paragraph" w:customStyle="1" w:styleId="MarginNote">
    <w:name w:val="Margin Note"/>
    <w:basedOn w:val="BodyText"/>
    <w:rsid w:val="00B96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F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F6C"/>
    <w:rPr>
      <w:sz w:val="32"/>
    </w:rPr>
  </w:style>
  <w:style w:type="paragraph" w:customStyle="1" w:styleId="HeadingProcedure">
    <w:name w:val="Heading Procedure"/>
    <w:basedOn w:val="HeadingBase"/>
    <w:next w:val="Normal"/>
    <w:rsid w:val="00B96F6C"/>
    <w:pPr>
      <w:tabs>
        <w:tab w:val="left" w:pos="0"/>
      </w:tabs>
      <w:spacing w:before="120" w:after="60"/>
    </w:pPr>
    <w:rPr>
      <w:i/>
      <w:color w:val="918585"/>
      <w:sz w:val="22"/>
    </w:rPr>
  </w:style>
  <w:style w:type="paragraph" w:customStyle="1" w:styleId="TableBodyText">
    <w:name w:val="Table Body Text"/>
    <w:basedOn w:val="BodyText"/>
    <w:rsid w:val="00B96F6C"/>
    <w:pPr>
      <w:spacing w:before="60" w:after="60"/>
    </w:pPr>
  </w:style>
  <w:style w:type="paragraph" w:styleId="ListContinue">
    <w:name w:val="List Continue"/>
    <w:basedOn w:val="List"/>
    <w:rsid w:val="00B96F6C"/>
    <w:pPr>
      <w:ind w:firstLine="0"/>
    </w:pPr>
  </w:style>
  <w:style w:type="paragraph" w:customStyle="1" w:styleId="ListNote">
    <w:name w:val="List Note"/>
    <w:basedOn w:val="List"/>
    <w:rsid w:val="00B96F6C"/>
    <w:pPr>
      <w:pBdr>
        <w:top w:val="single" w:sz="6" w:space="2" w:color="918585"/>
        <w:bottom w:val="single" w:sz="6" w:space="2" w:color="918585"/>
      </w:pBdr>
      <w:tabs>
        <w:tab w:val="left" w:pos="1021"/>
      </w:tabs>
      <w:ind w:firstLine="0"/>
    </w:pPr>
  </w:style>
  <w:style w:type="paragraph" w:customStyle="1" w:styleId="Warning">
    <w:name w:val="Warning"/>
    <w:basedOn w:val="BodyText"/>
    <w:rsid w:val="00B96F6C"/>
    <w:pPr>
      <w:shd w:val="clear" w:color="auto" w:fill="D9D9D9"/>
      <w:tabs>
        <w:tab w:val="left" w:pos="992"/>
      </w:tabs>
      <w:ind w:left="119" w:right="119"/>
    </w:pPr>
    <w:rPr>
      <w:sz w:val="20"/>
    </w:rPr>
  </w:style>
  <w:style w:type="paragraph" w:customStyle="1" w:styleId="MarginIcons">
    <w:name w:val="Margin Icons"/>
    <w:basedOn w:val="BodyText"/>
    <w:rsid w:val="00B96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F6C"/>
    <w:rPr>
      <w:rFonts w:ascii="Courier New" w:hAnsi="Courier New"/>
    </w:rPr>
  </w:style>
  <w:style w:type="paragraph" w:customStyle="1" w:styleId="NoteBullet">
    <w:name w:val="Note Bullet"/>
    <w:basedOn w:val="Note"/>
    <w:rsid w:val="00B96F6C"/>
    <w:pPr>
      <w:tabs>
        <w:tab w:val="clear" w:pos="680"/>
      </w:tabs>
      <w:spacing w:before="60" w:after="60"/>
    </w:pPr>
  </w:style>
  <w:style w:type="paragraph" w:customStyle="1" w:styleId="SubHeading2">
    <w:name w:val="SubHeading2"/>
    <w:basedOn w:val="HeadingBase"/>
    <w:rsid w:val="00B96F6C"/>
    <w:pPr>
      <w:spacing w:before="240" w:after="60"/>
    </w:pPr>
    <w:rPr>
      <w:sz w:val="20"/>
    </w:rPr>
  </w:style>
  <w:style w:type="paragraph" w:customStyle="1" w:styleId="SubHeading1">
    <w:name w:val="SubHeading1"/>
    <w:basedOn w:val="HeadingBase"/>
    <w:rsid w:val="00B96F6C"/>
    <w:pPr>
      <w:spacing w:before="240" w:after="60"/>
    </w:pPr>
    <w:rPr>
      <w:color w:val="918585"/>
      <w:sz w:val="22"/>
    </w:rPr>
  </w:style>
  <w:style w:type="paragraph" w:customStyle="1" w:styleId="SideHeading">
    <w:name w:val="Side Heading"/>
    <w:basedOn w:val="HeadingBase"/>
    <w:rsid w:val="00B96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F6C"/>
    <w:pPr>
      <w:tabs>
        <w:tab w:val="num" w:pos="360"/>
      </w:tabs>
    </w:pPr>
  </w:style>
  <w:style w:type="paragraph" w:styleId="PlainText">
    <w:name w:val="Plain Text"/>
    <w:basedOn w:val="Normal"/>
    <w:link w:val="PlainTextChar"/>
    <w:rsid w:val="00B96F6C"/>
    <w:rPr>
      <w:sz w:val="20"/>
    </w:rPr>
  </w:style>
  <w:style w:type="character" w:customStyle="1" w:styleId="PlainTextChar">
    <w:name w:val="Plain Text Char"/>
    <w:basedOn w:val="DefaultParagraphFont"/>
    <w:link w:val="PlainText"/>
    <w:rsid w:val="00B96F6C"/>
    <w:rPr>
      <w:rFonts w:ascii="Courier New" w:eastAsia="Times New Roman" w:hAnsi="Courier New" w:cs="Times New Roman"/>
      <w:sz w:val="20"/>
      <w:szCs w:val="20"/>
      <w:lang w:eastAsia="en-US"/>
    </w:rPr>
  </w:style>
  <w:style w:type="character" w:customStyle="1" w:styleId="MenuOption">
    <w:name w:val="Menu Option"/>
    <w:basedOn w:val="DefaultParagraphFont"/>
    <w:rsid w:val="00B96F6C"/>
    <w:rPr>
      <w:b/>
      <w:smallCaps/>
    </w:rPr>
  </w:style>
  <w:style w:type="paragraph" w:customStyle="1" w:styleId="TableListNumber">
    <w:name w:val="Table List Number"/>
    <w:basedOn w:val="ListNumber"/>
    <w:rsid w:val="00B96F6C"/>
    <w:pPr>
      <w:numPr>
        <w:numId w:val="0"/>
      </w:numPr>
    </w:pPr>
  </w:style>
  <w:style w:type="paragraph" w:styleId="TOC4">
    <w:name w:val="toc 4"/>
    <w:basedOn w:val="TOCBase"/>
    <w:next w:val="Normal"/>
    <w:semiHidden/>
    <w:rsid w:val="00B96F6C"/>
    <w:pPr>
      <w:tabs>
        <w:tab w:val="right" w:leader="dot" w:pos="9071"/>
      </w:tabs>
      <w:ind w:left="1701"/>
    </w:pPr>
  </w:style>
  <w:style w:type="paragraph" w:customStyle="1" w:styleId="ListAlpha">
    <w:name w:val="List Alpha"/>
    <w:basedOn w:val="List"/>
    <w:rsid w:val="00B96F6C"/>
    <w:pPr>
      <w:numPr>
        <w:numId w:val="9"/>
      </w:numPr>
    </w:pPr>
  </w:style>
  <w:style w:type="paragraph" w:customStyle="1" w:styleId="ListAlpha2">
    <w:name w:val="List Alpha 2"/>
    <w:basedOn w:val="List2"/>
    <w:rsid w:val="00B96F6C"/>
    <w:pPr>
      <w:numPr>
        <w:numId w:val="8"/>
      </w:numPr>
    </w:pPr>
  </w:style>
  <w:style w:type="paragraph" w:styleId="List2">
    <w:name w:val="List 2"/>
    <w:basedOn w:val="BodyText"/>
    <w:rsid w:val="00B96F6C"/>
    <w:pPr>
      <w:tabs>
        <w:tab w:val="left" w:pos="680"/>
      </w:tabs>
      <w:spacing w:before="60" w:after="60"/>
      <w:ind w:left="680" w:hanging="340"/>
    </w:pPr>
  </w:style>
  <w:style w:type="paragraph" w:styleId="List3">
    <w:name w:val="List 3"/>
    <w:basedOn w:val="BodyText"/>
    <w:rsid w:val="00B96F6C"/>
    <w:pPr>
      <w:tabs>
        <w:tab w:val="left" w:pos="1021"/>
      </w:tabs>
      <w:spacing w:before="60" w:after="60"/>
      <w:ind w:left="1020" w:hanging="340"/>
    </w:pPr>
  </w:style>
  <w:style w:type="paragraph" w:styleId="List4">
    <w:name w:val="List 4"/>
    <w:basedOn w:val="BodyText"/>
    <w:rsid w:val="00B96F6C"/>
    <w:pPr>
      <w:tabs>
        <w:tab w:val="left" w:pos="1361"/>
      </w:tabs>
      <w:spacing w:before="60" w:after="60"/>
      <w:ind w:left="1361" w:hanging="340"/>
    </w:pPr>
  </w:style>
  <w:style w:type="paragraph" w:styleId="List5">
    <w:name w:val="List 5"/>
    <w:basedOn w:val="BodyText"/>
    <w:rsid w:val="00B96F6C"/>
    <w:pPr>
      <w:tabs>
        <w:tab w:val="left" w:pos="1701"/>
      </w:tabs>
      <w:spacing w:before="60" w:after="60"/>
      <w:ind w:left="1701" w:hanging="340"/>
    </w:pPr>
  </w:style>
  <w:style w:type="paragraph" w:styleId="ListBullet3">
    <w:name w:val="List Bullet 3"/>
    <w:basedOn w:val="List3"/>
    <w:rsid w:val="00B96F6C"/>
    <w:pPr>
      <w:numPr>
        <w:numId w:val="14"/>
      </w:numPr>
      <w:tabs>
        <w:tab w:val="clear" w:pos="1021"/>
      </w:tabs>
      <w:ind w:left="1037" w:hanging="357"/>
    </w:pPr>
  </w:style>
  <w:style w:type="paragraph" w:styleId="ListBullet4">
    <w:name w:val="List Bullet 4"/>
    <w:basedOn w:val="List4"/>
    <w:rsid w:val="00B96F6C"/>
    <w:pPr>
      <w:numPr>
        <w:numId w:val="3"/>
      </w:numPr>
      <w:tabs>
        <w:tab w:val="clear" w:pos="1361"/>
      </w:tabs>
    </w:pPr>
  </w:style>
  <w:style w:type="paragraph" w:styleId="ListBullet5">
    <w:name w:val="List Bullet 5"/>
    <w:basedOn w:val="List5"/>
    <w:rsid w:val="00B96F6C"/>
    <w:pPr>
      <w:numPr>
        <w:numId w:val="4"/>
      </w:numPr>
    </w:pPr>
  </w:style>
  <w:style w:type="paragraph" w:styleId="ListContinue2">
    <w:name w:val="List Continue 2"/>
    <w:basedOn w:val="List2"/>
    <w:rsid w:val="00B96F6C"/>
    <w:pPr>
      <w:ind w:firstLine="0"/>
    </w:pPr>
  </w:style>
  <w:style w:type="paragraph" w:styleId="ListContinue3">
    <w:name w:val="List Continue 3"/>
    <w:basedOn w:val="List3"/>
    <w:rsid w:val="00B96F6C"/>
    <w:pPr>
      <w:ind w:left="1021" w:firstLine="0"/>
    </w:pPr>
  </w:style>
  <w:style w:type="paragraph" w:styleId="ListContinue4">
    <w:name w:val="List Continue 4"/>
    <w:basedOn w:val="List4"/>
    <w:rsid w:val="00B96F6C"/>
    <w:pPr>
      <w:ind w:firstLine="0"/>
    </w:pPr>
  </w:style>
  <w:style w:type="paragraph" w:styleId="ListContinue5">
    <w:name w:val="List Continue 5"/>
    <w:basedOn w:val="List5"/>
    <w:rsid w:val="00B96F6C"/>
    <w:pPr>
      <w:ind w:firstLine="0"/>
    </w:pPr>
  </w:style>
  <w:style w:type="paragraph" w:styleId="ListNumber3">
    <w:name w:val="List Number 3"/>
    <w:basedOn w:val="List3"/>
    <w:rsid w:val="00B96F6C"/>
    <w:pPr>
      <w:numPr>
        <w:numId w:val="5"/>
      </w:numPr>
    </w:pPr>
  </w:style>
  <w:style w:type="paragraph" w:styleId="ListNumber4">
    <w:name w:val="List Number 4"/>
    <w:basedOn w:val="List4"/>
    <w:rsid w:val="00B96F6C"/>
    <w:pPr>
      <w:numPr>
        <w:numId w:val="6"/>
      </w:numPr>
    </w:pPr>
  </w:style>
  <w:style w:type="paragraph" w:styleId="ListNumber5">
    <w:name w:val="List Number 5"/>
    <w:basedOn w:val="List5"/>
    <w:rsid w:val="00B96F6C"/>
    <w:pPr>
      <w:numPr>
        <w:numId w:val="7"/>
      </w:numPr>
    </w:pPr>
  </w:style>
  <w:style w:type="paragraph" w:styleId="BlockText">
    <w:name w:val="Block Text"/>
    <w:basedOn w:val="Normal"/>
    <w:rsid w:val="00B96F6C"/>
    <w:pPr>
      <w:spacing w:after="120"/>
      <w:ind w:left="1440" w:right="1440"/>
    </w:pPr>
  </w:style>
  <w:style w:type="character" w:customStyle="1" w:styleId="Subscript">
    <w:name w:val="Subscript"/>
    <w:basedOn w:val="DefaultParagraphFont"/>
    <w:rsid w:val="00B96F6C"/>
    <w:rPr>
      <w:sz w:val="16"/>
      <w:vertAlign w:val="subscript"/>
    </w:rPr>
  </w:style>
  <w:style w:type="character" w:customStyle="1" w:styleId="Superscript">
    <w:name w:val="Superscript"/>
    <w:basedOn w:val="DefaultParagraphFont"/>
    <w:rsid w:val="00B96F6C"/>
    <w:rPr>
      <w:sz w:val="16"/>
      <w:vertAlign w:val="superscript"/>
    </w:rPr>
  </w:style>
  <w:style w:type="character" w:customStyle="1" w:styleId="Symbols">
    <w:name w:val="Symbols"/>
    <w:basedOn w:val="DefaultParagraphFont"/>
    <w:rsid w:val="00B96F6C"/>
    <w:rPr>
      <w:rFonts w:ascii="Symbol" w:hAnsi="Symbol"/>
    </w:rPr>
  </w:style>
  <w:style w:type="character" w:customStyle="1" w:styleId="MenuOptions">
    <w:name w:val="Menu Options"/>
    <w:basedOn w:val="DefaultParagraphFont"/>
    <w:rsid w:val="00B96F6C"/>
    <w:rPr>
      <w:rFonts w:ascii="Arial Narrow" w:hAnsi="Arial Narrow"/>
      <w:smallCaps/>
    </w:rPr>
  </w:style>
  <w:style w:type="character" w:customStyle="1" w:styleId="Buttons">
    <w:name w:val="Buttons"/>
    <w:basedOn w:val="DefaultParagraphFont"/>
    <w:rsid w:val="00B96F6C"/>
    <w:rPr>
      <w:b/>
    </w:rPr>
  </w:style>
  <w:style w:type="character" w:customStyle="1" w:styleId="Underlined">
    <w:name w:val="Underlined"/>
    <w:basedOn w:val="DefaultParagraphFont"/>
    <w:rsid w:val="00B96F6C"/>
    <w:rPr>
      <w:u w:val="single"/>
    </w:rPr>
  </w:style>
  <w:style w:type="paragraph" w:customStyle="1" w:styleId="TableBodyTextRight">
    <w:name w:val="Table Body Text Right"/>
    <w:basedOn w:val="TableBodyText"/>
    <w:rsid w:val="00B96F6C"/>
    <w:pPr>
      <w:widowControl w:val="0"/>
      <w:autoSpaceDE w:val="0"/>
      <w:autoSpaceDN w:val="0"/>
      <w:adjustRightInd w:val="0"/>
      <w:jc w:val="right"/>
    </w:pPr>
    <w:rPr>
      <w:rFonts w:cs="Arial"/>
      <w:szCs w:val="18"/>
    </w:rPr>
  </w:style>
  <w:style w:type="paragraph" w:customStyle="1" w:styleId="CopyrightText">
    <w:name w:val="Copyright Text"/>
    <w:basedOn w:val="BodyText"/>
    <w:rsid w:val="00B96F6C"/>
    <w:rPr>
      <w:sz w:val="18"/>
    </w:rPr>
  </w:style>
  <w:style w:type="paragraph" w:customStyle="1" w:styleId="BodySmallRight">
    <w:name w:val="Body Small Right"/>
    <w:basedOn w:val="BodyTextRight"/>
    <w:rsid w:val="00B96F6C"/>
    <w:rPr>
      <w:sz w:val="18"/>
      <w:szCs w:val="18"/>
    </w:rPr>
  </w:style>
  <w:style w:type="paragraph" w:customStyle="1" w:styleId="MarginEdition">
    <w:name w:val="Margin Edition"/>
    <w:basedOn w:val="MarginNote"/>
    <w:rsid w:val="00B96F6C"/>
    <w:pPr>
      <w:spacing w:before="0" w:after="0"/>
    </w:pPr>
    <w:rPr>
      <w:rFonts w:ascii="Times New Roman" w:hAnsi="Times New Roman"/>
      <w:color w:val="999999"/>
    </w:rPr>
  </w:style>
  <w:style w:type="paragraph" w:customStyle="1" w:styleId="Spacer">
    <w:name w:val="Spacer"/>
    <w:basedOn w:val="Normal"/>
    <w:rsid w:val="00B96F6C"/>
    <w:rPr>
      <w:sz w:val="2"/>
      <w:szCs w:val="2"/>
    </w:rPr>
  </w:style>
  <w:style w:type="character" w:customStyle="1" w:styleId="Small">
    <w:name w:val="Small"/>
    <w:basedOn w:val="DefaultParagraphFont"/>
    <w:rsid w:val="00B96F6C"/>
    <w:rPr>
      <w:sz w:val="16"/>
    </w:rPr>
  </w:style>
  <w:style w:type="paragraph" w:customStyle="1" w:styleId="WideTable">
    <w:name w:val="Wide Table"/>
    <w:basedOn w:val="Normal"/>
    <w:rsid w:val="00B96F6C"/>
    <w:pPr>
      <w:ind w:left="-1418"/>
    </w:pPr>
    <w:rPr>
      <w:sz w:val="2"/>
      <w:szCs w:val="2"/>
    </w:rPr>
  </w:style>
  <w:style w:type="character" w:styleId="PageNumber">
    <w:name w:val="page number"/>
    <w:basedOn w:val="DefaultParagraphFont"/>
    <w:rsid w:val="00B96F6C"/>
  </w:style>
  <w:style w:type="paragraph" w:styleId="Quote">
    <w:name w:val="Quote"/>
    <w:basedOn w:val="Heading1"/>
    <w:link w:val="QuoteChar"/>
    <w:qFormat/>
    <w:rsid w:val="00B96F6C"/>
    <w:rPr>
      <w:b w:val="0"/>
      <w:sz w:val="72"/>
      <w:szCs w:val="72"/>
      <w:lang w:val="en-NZ"/>
    </w:rPr>
  </w:style>
  <w:style w:type="character" w:customStyle="1" w:styleId="QuoteChar">
    <w:name w:val="Quote Char"/>
    <w:basedOn w:val="DefaultParagraphFont"/>
    <w:link w:val="Quote"/>
    <w:rsid w:val="00B96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F6C"/>
    <w:pPr>
      <w:pageBreakBefore/>
    </w:pPr>
  </w:style>
  <w:style w:type="paragraph" w:customStyle="1" w:styleId="Border">
    <w:name w:val="Border"/>
    <w:basedOn w:val="Normal"/>
    <w:qFormat/>
    <w:rsid w:val="00B96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F6C"/>
    <w:rPr>
      <w:b/>
      <w:bCs/>
      <w:i/>
      <w:iCs/>
      <w:color w:val="auto"/>
    </w:rPr>
  </w:style>
  <w:style w:type="paragraph" w:styleId="IntenseQuote">
    <w:name w:val="Intense Quote"/>
    <w:basedOn w:val="Normal"/>
    <w:next w:val="Normal"/>
    <w:link w:val="IntenseQuoteChar"/>
    <w:uiPriority w:val="30"/>
    <w:qFormat/>
    <w:rsid w:val="00B96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F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F6C"/>
    <w:rPr>
      <w:smallCaps/>
      <w:color w:val="auto"/>
      <w:u w:val="single"/>
    </w:rPr>
  </w:style>
  <w:style w:type="character" w:styleId="IntenseReference">
    <w:name w:val="Intense Reference"/>
    <w:basedOn w:val="DefaultParagraphFont"/>
    <w:uiPriority w:val="32"/>
    <w:qFormat/>
    <w:rsid w:val="00B96F6C"/>
    <w:rPr>
      <w:b/>
      <w:bCs/>
      <w:smallCaps/>
      <w:color w:val="auto"/>
      <w:spacing w:val="5"/>
      <w:u w:val="single"/>
    </w:rPr>
  </w:style>
  <w:style w:type="paragraph" w:customStyle="1" w:styleId="2ColumnHeading">
    <w:name w:val="2Column Heading"/>
    <w:basedOn w:val="BodyText"/>
    <w:qFormat/>
    <w:rsid w:val="00B96F6C"/>
    <w:pPr>
      <w:spacing w:after="60"/>
      <w:ind w:left="-2268"/>
    </w:pPr>
    <w:rPr>
      <w:b/>
    </w:rPr>
  </w:style>
  <w:style w:type="paragraph" w:customStyle="1" w:styleId="Heading1TOC">
    <w:name w:val="Heading1 TOC"/>
    <w:basedOn w:val="Normal"/>
    <w:qFormat/>
    <w:rsid w:val="00B96F6C"/>
    <w:pPr>
      <w:spacing w:before="240" w:after="120"/>
    </w:pPr>
    <w:rPr>
      <w:rFonts w:ascii="Times New Roman" w:hAnsi="Times New Roman"/>
      <w:b/>
      <w:sz w:val="32"/>
    </w:rPr>
  </w:style>
  <w:style w:type="paragraph" w:customStyle="1" w:styleId="Heading2TOC">
    <w:name w:val="Heading2 TOC"/>
    <w:basedOn w:val="Normal"/>
    <w:qFormat/>
    <w:rsid w:val="00B96F6C"/>
    <w:pPr>
      <w:spacing w:before="240" w:after="60"/>
    </w:pPr>
    <w:rPr>
      <w:rFonts w:ascii="Times New Roman" w:hAnsi="Times New Roman"/>
      <w:b/>
      <w:sz w:val="28"/>
    </w:rPr>
  </w:style>
  <w:style w:type="character" w:customStyle="1" w:styleId="Underline">
    <w:name w:val="Underline"/>
    <w:basedOn w:val="DefaultParagraphFont"/>
    <w:qFormat/>
    <w:rsid w:val="00B96F6C"/>
    <w:rPr>
      <w:u w:val="single"/>
    </w:rPr>
  </w:style>
  <w:style w:type="character" w:customStyle="1" w:styleId="BoldandItalics">
    <w:name w:val="Bold and Italics"/>
    <w:qFormat/>
    <w:rsid w:val="00B96F6C"/>
    <w:rPr>
      <w:b/>
      <w:i/>
      <w:u w:val="none"/>
    </w:rPr>
  </w:style>
  <w:style w:type="paragraph" w:styleId="BalloonText">
    <w:name w:val="Balloon Text"/>
    <w:basedOn w:val="Normal"/>
    <w:link w:val="BalloonTextChar"/>
    <w:rsid w:val="00B96F6C"/>
    <w:rPr>
      <w:rFonts w:ascii="Tahoma" w:hAnsi="Tahoma" w:cs="Tahoma"/>
      <w:sz w:val="16"/>
      <w:szCs w:val="16"/>
    </w:rPr>
  </w:style>
  <w:style w:type="character" w:customStyle="1" w:styleId="BalloonTextChar">
    <w:name w:val="Balloon Text Char"/>
    <w:basedOn w:val="DefaultParagraphFont"/>
    <w:link w:val="BalloonText"/>
    <w:rsid w:val="00B96F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F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F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F6C"/>
    <w:rPr>
      <w:b/>
      <w:color w:val="660033"/>
      <w:spacing w:val="0"/>
    </w:rPr>
  </w:style>
  <w:style w:type="paragraph" w:customStyle="1" w:styleId="Nameditemlist">
    <w:name w:val="Named item list"/>
    <w:basedOn w:val="BodyText"/>
    <w:qFormat/>
    <w:rsid w:val="00B96F6C"/>
    <w:pPr>
      <w:tabs>
        <w:tab w:val="left" w:pos="2835"/>
      </w:tabs>
      <w:ind w:left="2835" w:hanging="2835"/>
    </w:pPr>
  </w:style>
  <w:style w:type="paragraph" w:customStyle="1" w:styleId="BodyTextnopadding">
    <w:name w:val="Body Text no padding"/>
    <w:basedOn w:val="BodyText"/>
    <w:qFormat/>
    <w:rsid w:val="00B96F6C"/>
    <w:pPr>
      <w:spacing w:before="0" w:after="0"/>
    </w:pPr>
  </w:style>
  <w:style w:type="paragraph" w:customStyle="1" w:styleId="BodyTextBold">
    <w:name w:val="Body Text Bold"/>
    <w:basedOn w:val="BodyText"/>
    <w:qFormat/>
    <w:rsid w:val="00B96F6C"/>
    <w:rPr>
      <w:b/>
    </w:rPr>
  </w:style>
  <w:style w:type="character" w:styleId="Hyperlink">
    <w:name w:val="Hyperlink"/>
    <w:basedOn w:val="DefaultParagraphFont"/>
    <w:uiPriority w:val="99"/>
    <w:unhideWhenUsed/>
    <w:rsid w:val="004D7B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879</Words>
  <Characters>6260</Characters>
  <Application>Microsoft Office Word</Application>
  <DocSecurity>0</DocSecurity>
  <Lines>184</Lines>
  <Paragraphs>169</Paragraphs>
  <ScaleCrop>false</ScaleCrop>
  <Company>Author-it Software Corporation Ltd.</Company>
  <LinksUpToDate>false</LinksUpToDate>
  <CharactersWithSpaces>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UEEIC0042 Solve problems in single phase electronic power control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