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75B" w:rsidP="0014775B">
      <w:pPr>
        <w:pStyle w:val="Title"/>
      </w:pPr>
      <w:r>
        <w:fldChar w:fldCharType="begin"/>
      </w:r>
      <w:r>
        <w:instrText xml:space="preserve"> TITLE   \* MERGEFORMAT </w:instrText>
      </w:r>
      <w:r>
        <w:fldChar w:fldCharType="separate"/>
      </w:r>
      <w:r>
        <w:t>Assessment Requirements for UEEIC0038 Solve problems in density/level measurement components and systems</w:t>
      </w:r>
      <w:r>
        <w:fldChar w:fldCharType="end"/>
      </w:r>
    </w:p>
    <w:p w:rsidR="0014775B" w:rsidP="0014775B">
      <w:pPr>
        <w:pStyle w:val="Version"/>
        <w:sectPr w:rsidSect="00D57F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F25" w:rsidP="00D57F25">
      <w:pPr>
        <w:pStyle w:val="SuperHeading"/>
      </w:pPr>
      <w:r w:rsidRPr="00D57F25">
        <w:t>Assessment Requirements for UEEIC0038 Solve problems in density/level measurement components and systems</w:t>
      </w:r>
    </w:p>
    <w:p w:rsidR="00000000" w:rsidRPr="00D57F25" w:rsidP="00D57F25">
      <w:pPr>
        <w:pStyle w:val="Heading1"/>
      </w:pPr>
      <w:bookmarkStart w:id="1" w:name="O_1082868"/>
      <w:bookmarkEnd w:id="1"/>
      <w:r w:rsidRPr="00D57F25">
        <w:t>Modification History</w:t>
      </w:r>
    </w:p>
    <w:tbl>
      <w:tblPr>
        <w:tblW w:w="9497" w:type="dxa"/>
        <w:tblLayout w:type="fixed"/>
        <w:tblCellMar>
          <w:left w:w="62" w:type="dxa"/>
          <w:right w:w="62" w:type="dxa"/>
        </w:tblCellMar>
        <w:tblLook w:val="0000"/>
      </w:tblPr>
      <w:tblGrid>
        <w:gridCol w:w="9497"/>
      </w:tblGrid>
      <w:tr w:rsidTr="00D57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25" w:rsidP="00D57F25">
            <w:pPr>
              <w:pStyle w:val="BodyText"/>
            </w:pPr>
            <w:r w:rsidRPr="00D57F25">
              <w:t>Release 1. This is the first release of this unit of competency in the UEE Electrotechnology Training Package.</w:t>
            </w:r>
          </w:p>
        </w:tc>
      </w:tr>
    </w:tbl>
    <w:p w:rsidR="00000000" w:rsidRPr="00D57F25" w:rsidP="00D57F25">
      <w:pPr>
        <w:pStyle w:val="NoPaddingFontSize1"/>
      </w:pPr>
    </w:p>
    <w:p w:rsidR="00000000" w:rsidRPr="00D57F25" w:rsidP="00D57F25">
      <w:pPr>
        <w:pStyle w:val="AllowPageBreak"/>
      </w:pPr>
    </w:p>
    <w:p w:rsidR="00000000" w:rsidRPr="00D57F25" w:rsidP="00D57F25">
      <w:pPr>
        <w:pStyle w:val="Heading1"/>
      </w:pPr>
      <w:bookmarkStart w:id="2" w:name="O_1082869"/>
      <w:bookmarkEnd w:id="2"/>
      <w:r w:rsidRPr="00D57F25">
        <w:t>Performance Evidence</w:t>
      </w:r>
    </w:p>
    <w:tbl>
      <w:tblPr>
        <w:tblW w:w="9497" w:type="dxa"/>
        <w:tblLayout w:type="fixed"/>
        <w:tblCellMar>
          <w:left w:w="62" w:type="dxa"/>
          <w:right w:w="62" w:type="dxa"/>
        </w:tblCellMar>
        <w:tblLook w:val="0000"/>
      </w:tblPr>
      <w:tblGrid>
        <w:gridCol w:w="9497"/>
      </w:tblGrid>
      <w:tr w:rsidTr="00D57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7F25">
            <w:pPr>
              <w:pStyle w:val="BodyText"/>
              <w:rPr>
                <w:lang w:val="en-NZ"/>
              </w:rPr>
            </w:pPr>
            <w:r w:rsidRPr="00D57F25">
              <w:t xml:space="preserve">Evidence required to demonstrate competence in this unit must be relevant to and satisfy all of the requirements of the elements, performance criteria and range of conditions on at least two separate occasions and </w:t>
            </w:r>
            <w:r w:rsidRPr="00D57F25">
              <w:t xml:space="preserve">include: </w:t>
            </w:r>
          </w:p>
        </w:tc>
      </w:tr>
      <w:tr w:rsidTr="00D57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25" w:rsidP="00D57F25">
            <w:pPr>
              <w:pStyle w:val="ListBullet"/>
            </w:pPr>
            <w:r w:rsidRPr="00D57F25">
              <w:t>applying relevant work health and safety (WHS)/occupational health and safety (OHS) requirements, including applying safe working practices</w:t>
            </w:r>
          </w:p>
          <w:p w:rsidR="00000000" w:rsidRPr="00D57F25" w:rsidP="00D57F25">
            <w:pPr>
              <w:pStyle w:val="ListBullet"/>
            </w:pPr>
            <w:r w:rsidRPr="00D57F25">
              <w:t xml:space="preserve">applying sustainable energy principles and practices </w:t>
            </w:r>
          </w:p>
          <w:p w:rsidR="00000000" w:rsidRPr="00D57F25" w:rsidP="00D57F25">
            <w:pPr>
              <w:pStyle w:val="ListBullet"/>
            </w:pPr>
            <w:r w:rsidRPr="00D57F25">
              <w:t>cleaning and making work site safe</w:t>
            </w:r>
          </w:p>
          <w:p w:rsidR="00000000" w:rsidRPr="00D57F25" w:rsidP="00D57F25">
            <w:pPr>
              <w:pStyle w:val="ListBullet"/>
            </w:pPr>
            <w:r w:rsidRPr="00D57F25">
              <w:t>completing work</w:t>
            </w:r>
            <w:r w:rsidRPr="00D57F25">
              <w:t xml:space="preserve"> and documenting work activities</w:t>
            </w:r>
          </w:p>
          <w:p w:rsidR="00000000" w:rsidRPr="00D57F25" w:rsidP="00D57F25">
            <w:pPr>
              <w:pStyle w:val="ListBullet"/>
            </w:pPr>
            <w:r w:rsidRPr="00D57F25">
              <w:t>dealing with unplanned events/situations in accordance with workplace procedures in a manner that minimises risk to personnel and equipment</w:t>
            </w:r>
          </w:p>
          <w:p w:rsidR="00000000" w:rsidRPr="00D57F25" w:rsidP="00D57F25">
            <w:pPr>
              <w:pStyle w:val="ListBullet"/>
            </w:pPr>
            <w:r w:rsidRPr="00D57F25">
              <w:t>documenting completed work</w:t>
            </w:r>
          </w:p>
          <w:p w:rsidR="00000000" w:rsidRPr="00D57F25" w:rsidP="00D57F25">
            <w:pPr>
              <w:pStyle w:val="ListBullet"/>
            </w:pPr>
            <w:r w:rsidRPr="00D57F25">
              <w:t xml:space="preserve">implementing risk control measures </w:t>
            </w:r>
          </w:p>
          <w:p w:rsidR="00000000" w:rsidRPr="00D57F25" w:rsidP="00D57F25">
            <w:pPr>
              <w:pStyle w:val="ListBullet"/>
            </w:pPr>
            <w:r w:rsidRPr="00D57F25">
              <w:t>obtaining tools, equipment and testing devices</w:t>
            </w:r>
          </w:p>
          <w:p w:rsidR="00000000" w:rsidRPr="00D57F25" w:rsidP="00D57F25">
            <w:pPr>
              <w:pStyle w:val="ListBullet"/>
            </w:pPr>
            <w:r w:rsidRPr="00D57F25">
              <w:t>determining work on density/level measurement components and systems</w:t>
            </w:r>
          </w:p>
          <w:p w:rsidR="00000000" w:rsidRPr="00D57F25" w:rsidP="00D57F25">
            <w:pPr>
              <w:pStyle w:val="ListBullet"/>
            </w:pPr>
            <w:r w:rsidRPr="00D57F25">
              <w:t>solving density/level measurement problems</w:t>
            </w:r>
          </w:p>
          <w:p w:rsidR="00000000" w:rsidRPr="00D57F25" w:rsidP="00D57F25">
            <w:pPr>
              <w:pStyle w:val="ListBullet"/>
            </w:pPr>
            <w:r w:rsidRPr="00D57F25">
              <w:t>solving problems in density/level measurement systems</w:t>
            </w:r>
          </w:p>
          <w:p w:rsidR="00000000" w:rsidRPr="00D57F25" w:rsidP="00D57F25">
            <w:pPr>
              <w:pStyle w:val="ListBullet"/>
            </w:pPr>
            <w:r w:rsidRPr="00D57F25">
              <w:t>working with density/level apparatus.</w:t>
            </w:r>
          </w:p>
        </w:tc>
      </w:tr>
    </w:tbl>
    <w:p w:rsidR="00000000" w:rsidRPr="00D57F25" w:rsidP="00D57F25">
      <w:pPr>
        <w:pStyle w:val="NoPaddingFontSize1"/>
      </w:pPr>
    </w:p>
    <w:p w:rsidR="00000000" w:rsidRPr="00D57F25" w:rsidP="00D57F25">
      <w:pPr>
        <w:pStyle w:val="AllowPageBreak"/>
      </w:pPr>
    </w:p>
    <w:p w:rsidR="00000000" w:rsidRPr="00D57F25" w:rsidP="00D57F25">
      <w:pPr>
        <w:pStyle w:val="Heading1"/>
      </w:pPr>
      <w:bookmarkStart w:id="3" w:name="O_1082870"/>
      <w:bookmarkEnd w:id="3"/>
      <w:r w:rsidRPr="00D57F25">
        <w:t>Knowledge Evidence</w:t>
      </w:r>
    </w:p>
    <w:tbl>
      <w:tblPr>
        <w:tblW w:w="9497" w:type="dxa"/>
        <w:tblLayout w:type="fixed"/>
        <w:tblCellMar>
          <w:left w:w="62" w:type="dxa"/>
          <w:right w:w="62" w:type="dxa"/>
        </w:tblCellMar>
        <w:tblLook w:val="0000"/>
      </w:tblPr>
      <w:tblGrid>
        <w:gridCol w:w="9497"/>
      </w:tblGrid>
      <w:tr w:rsidTr="00D57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7F25">
            <w:pPr>
              <w:pStyle w:val="BodyText"/>
              <w:rPr>
                <w:lang w:val="en-NZ"/>
              </w:rPr>
            </w:pPr>
            <w:r w:rsidRPr="00D57F25">
              <w:t xml:space="preserve">Evidence required to demonstrate competence in this unit must be relevant to and satisfy all of the requirements of the elements, performance criteria and range of conditions and include knowledge of: </w:t>
            </w:r>
          </w:p>
        </w:tc>
      </w:tr>
      <w:tr w:rsidTr="00D57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25" w:rsidP="00D57F25">
            <w:pPr>
              <w:pStyle w:val="ListBullet"/>
            </w:pPr>
            <w:r w:rsidRPr="00D57F25">
              <w:t>introduction to l</w:t>
            </w:r>
            <w:r w:rsidRPr="00D57F25">
              <w:t>evel/density measurement. including:</w:t>
            </w:r>
          </w:p>
          <w:p w:rsidR="00000000" w:rsidRPr="00D57F25" w:rsidP="00D57F25">
            <w:pPr>
              <w:pStyle w:val="ListBullet2"/>
            </w:pPr>
            <w:r w:rsidRPr="00D57F25">
              <w:t>definitions density and relative density (sg)</w:t>
            </w:r>
          </w:p>
          <w:p w:rsidR="00000000" w:rsidRPr="00D57F25" w:rsidP="00D57F25">
            <w:pPr>
              <w:pStyle w:val="ListBullet2"/>
            </w:pPr>
            <w:r w:rsidRPr="00D57F25">
              <w:t>application</w:t>
            </w:r>
          </w:p>
          <w:p w:rsidR="00000000" w:rsidRPr="00D57F25" w:rsidP="00D57F25">
            <w:pPr>
              <w:pStyle w:val="ListBullet2"/>
            </w:pPr>
            <w:r w:rsidRPr="00D57F25">
              <w:t>factors affecting density</w:t>
            </w:r>
          </w:p>
          <w:p w:rsidR="00000000" w:rsidRPr="00D57F25" w:rsidP="00D57F25">
            <w:pPr>
              <w:pStyle w:val="ListBullet2"/>
            </w:pPr>
            <w:r w:rsidRPr="00D57F25">
              <w:t>density measurement</w:t>
            </w:r>
          </w:p>
          <w:p w:rsidR="00000000" w:rsidRPr="00D57F25" w:rsidP="00D57F25">
            <w:pPr>
              <w:pStyle w:val="ListBullet2"/>
            </w:pPr>
            <w:r w:rsidRPr="00D57F25">
              <w:t>Archimedes principle</w:t>
            </w:r>
          </w:p>
          <w:p w:rsidR="00000000" w:rsidRPr="00D57F25" w:rsidP="00D57F25">
            <w:pPr>
              <w:pStyle w:val="ListBullet2"/>
            </w:pPr>
            <w:r w:rsidRPr="00D57F25">
              <w:t>density calculations</w:t>
            </w:r>
          </w:p>
          <w:p w:rsidR="00000000" w:rsidRPr="00D57F25" w:rsidP="00D57F25">
            <w:pPr>
              <w:pStyle w:val="ListBullet2"/>
            </w:pPr>
            <w:r w:rsidRPr="00D57F25">
              <w:t>types and applications of level/density transducers</w:t>
            </w:r>
          </w:p>
          <w:p w:rsidR="00000000" w:rsidRPr="00D57F25" w:rsidP="00D57F25">
            <w:pPr>
              <w:pStyle w:val="ListBullet2"/>
            </w:pPr>
            <w:r w:rsidRPr="00D57F25">
              <w:t>transducers input/outputs (I/O) - measurement and evaluation</w:t>
            </w:r>
          </w:p>
          <w:p w:rsidR="00000000" w:rsidRPr="00D57F25" w:rsidP="00D57F25">
            <w:pPr>
              <w:pStyle w:val="ListBullet2"/>
            </w:pPr>
            <w:r w:rsidRPr="00D57F25">
              <w:t>transducer connections</w:t>
            </w:r>
          </w:p>
          <w:p w:rsidR="00000000" w:rsidRPr="00D57F25" w:rsidP="00D57F25">
            <w:pPr>
              <w:pStyle w:val="ListBullet"/>
            </w:pPr>
            <w:r w:rsidRPr="00D57F25">
              <w:t>level/density measurement techniques sight type, including:</w:t>
            </w:r>
          </w:p>
          <w:p w:rsidR="00000000" w:rsidRPr="00D57F25" w:rsidP="00D57F25">
            <w:pPr>
              <w:pStyle w:val="ListBullet2"/>
            </w:pPr>
            <w:r w:rsidRPr="00D57F25">
              <w:t>dipstick and hook gauges</w:t>
            </w:r>
          </w:p>
          <w:p w:rsidR="00000000" w:rsidRPr="00D57F25" w:rsidP="00D57F25">
            <w:pPr>
              <w:pStyle w:val="ListBullet2"/>
            </w:pPr>
            <w:r w:rsidRPr="00D57F25">
              <w:t>tubular and flat glass gauges</w:t>
            </w:r>
          </w:p>
          <w:p w:rsidR="00000000" w:rsidRPr="00D57F25" w:rsidP="00D57F25">
            <w:pPr>
              <w:pStyle w:val="ListBullet2"/>
            </w:pPr>
            <w:r w:rsidRPr="00D57F25">
              <w:t>accuracy of flat glass gauges</w:t>
            </w:r>
          </w:p>
          <w:p w:rsidR="00000000" w:rsidRPr="00D57F25" w:rsidP="00D57F25">
            <w:pPr>
              <w:pStyle w:val="ListBullet2"/>
            </w:pPr>
            <w:r w:rsidRPr="00D57F25">
              <w:t>magnetically coupled gaug</w:t>
            </w:r>
            <w:r w:rsidRPr="00D57F25">
              <w:t>es</w:t>
            </w:r>
          </w:p>
          <w:p w:rsidR="00000000" w:rsidRPr="00D57F25" w:rsidP="00D57F25">
            <w:pPr>
              <w:pStyle w:val="ListBullet2"/>
            </w:pPr>
            <w:r w:rsidRPr="00D57F25">
              <w:t>float level measuring devices</w:t>
            </w:r>
          </w:p>
          <w:p w:rsidR="00000000" w:rsidRPr="00D57F25" w:rsidP="00D57F25">
            <w:pPr>
              <w:pStyle w:val="ListBullet2"/>
            </w:pPr>
            <w:r w:rsidRPr="00D57F25">
              <w:t>application of float devices</w:t>
            </w:r>
          </w:p>
          <w:p w:rsidR="00000000" w:rsidRPr="00D57F25" w:rsidP="00D57F25">
            <w:pPr>
              <w:pStyle w:val="ListBullet"/>
            </w:pPr>
            <w:r w:rsidRPr="00D57F25">
              <w:t>level/density measurement - force type techniques, including:</w:t>
            </w:r>
          </w:p>
          <w:p w:rsidR="00000000" w:rsidRPr="00D57F25" w:rsidP="00D57F25">
            <w:pPr>
              <w:pStyle w:val="ListBullet2"/>
            </w:pPr>
            <w:r w:rsidRPr="00D57F25">
              <w:t>comparison of float and displacement type systems</w:t>
            </w:r>
          </w:p>
          <w:p w:rsidR="00000000" w:rsidRPr="00D57F25" w:rsidP="00D57F25">
            <w:pPr>
              <w:pStyle w:val="ListBullet2"/>
            </w:pPr>
            <w:r w:rsidRPr="00D57F25">
              <w:t>interface sensing devices</w:t>
            </w:r>
          </w:p>
          <w:p w:rsidR="00000000" w:rsidRPr="00D57F25" w:rsidP="00D57F25">
            <w:pPr>
              <w:pStyle w:val="ListBullet2"/>
            </w:pPr>
            <w:r w:rsidRPr="00D57F25">
              <w:t>torque tube type displacer operation</w:t>
            </w:r>
          </w:p>
          <w:p w:rsidR="00000000" w:rsidRPr="00D57F25" w:rsidP="00D57F25">
            <w:pPr>
              <w:pStyle w:val="ListBullet2"/>
            </w:pPr>
            <w:r w:rsidRPr="00D57F25">
              <w:t>torque tube type displacer construction</w:t>
            </w:r>
          </w:p>
          <w:p w:rsidR="00000000" w:rsidRPr="00D57F25" w:rsidP="00D57F25">
            <w:pPr>
              <w:pStyle w:val="ListBullet2"/>
            </w:pPr>
            <w:r w:rsidRPr="00D57F25">
              <w:t>pneumatic and electronic transmitters</w:t>
            </w:r>
          </w:p>
          <w:p w:rsidR="00000000" w:rsidRPr="00D57F25" w:rsidP="00D57F25">
            <w:pPr>
              <w:pStyle w:val="ListBullet"/>
            </w:pPr>
            <w:r w:rsidRPr="00D57F25">
              <w:t>level/density measurement - pressure-type techniques, including:</w:t>
            </w:r>
          </w:p>
          <w:p w:rsidR="00000000" w:rsidRPr="00D57F25" w:rsidP="00D57F25">
            <w:pPr>
              <w:pStyle w:val="ListBullet2"/>
            </w:pPr>
            <w:r w:rsidRPr="00D57F25">
              <w:t>diaphragm level detectors</w:t>
            </w:r>
          </w:p>
          <w:p w:rsidR="00000000" w:rsidRPr="00D57F25" w:rsidP="00D57F25">
            <w:pPr>
              <w:pStyle w:val="ListBullet2"/>
            </w:pPr>
            <w:r w:rsidRPr="00D57F25">
              <w:t>applications of diaphragm level detectors</w:t>
            </w:r>
          </w:p>
          <w:p w:rsidR="00000000" w:rsidRPr="00D57F25" w:rsidP="00D57F25">
            <w:pPr>
              <w:pStyle w:val="ListBullet2"/>
            </w:pPr>
            <w:r w:rsidRPr="00D57F25">
              <w:t xml:space="preserve">differential pressure cells advantages and </w:t>
            </w:r>
            <w:r w:rsidRPr="00D57F25">
              <w:t>disadvantages</w:t>
            </w:r>
          </w:p>
          <w:p w:rsidR="00000000" w:rsidRPr="00D57F25" w:rsidP="00D57F25">
            <w:pPr>
              <w:pStyle w:val="ListBullet2"/>
            </w:pPr>
            <w:r w:rsidRPr="00D57F25">
              <w:t>density measurement using D/P cells</w:t>
            </w:r>
          </w:p>
          <w:p w:rsidR="00000000" w:rsidRPr="00D57F25" w:rsidP="00D57F25">
            <w:pPr>
              <w:pStyle w:val="ListBullet"/>
            </w:pPr>
            <w:r w:rsidRPr="00D57F25">
              <w:t>level/density measurement - electrical type techniques, including:</w:t>
            </w:r>
          </w:p>
          <w:p w:rsidR="00000000" w:rsidRPr="00D57F25" w:rsidP="00D57F25">
            <w:pPr>
              <w:pStyle w:val="ListBullet2"/>
            </w:pPr>
            <w:r w:rsidRPr="00D57F25">
              <w:t>application of conductance probes</w:t>
            </w:r>
          </w:p>
          <w:p w:rsidR="00000000" w:rsidRPr="00D57F25" w:rsidP="00D57F25">
            <w:pPr>
              <w:pStyle w:val="ListBullet2"/>
            </w:pPr>
            <w:r w:rsidRPr="00D57F25">
              <w:t>operation of a conductivity-level controller</w:t>
            </w:r>
          </w:p>
          <w:p w:rsidR="00000000" w:rsidRPr="00D57F25" w:rsidP="00D57F25">
            <w:pPr>
              <w:pStyle w:val="ListBullet2"/>
            </w:pPr>
            <w:r w:rsidRPr="00D57F25">
              <w:t>resistance tapes level detectors</w:t>
            </w:r>
          </w:p>
          <w:p w:rsidR="00000000" w:rsidRPr="00D57F25" w:rsidP="00D57F25">
            <w:pPr>
              <w:pStyle w:val="ListBullet2"/>
            </w:pPr>
            <w:r w:rsidRPr="00D57F25">
              <w:t>capacitance probes level detectors</w:t>
            </w:r>
          </w:p>
          <w:p w:rsidR="00000000" w:rsidRPr="00D57F25" w:rsidP="00D57F25">
            <w:pPr>
              <w:pStyle w:val="ListBullet2"/>
            </w:pPr>
            <w:r w:rsidRPr="00D57F25">
              <w:t>ultrasonic level detectors</w:t>
            </w:r>
          </w:p>
          <w:p w:rsidR="00000000" w:rsidRPr="00D57F25" w:rsidP="00D57F25">
            <w:pPr>
              <w:pStyle w:val="ListBullet2"/>
            </w:pPr>
            <w:r w:rsidRPr="00D57F25">
              <w:t>microwave-based level detectors</w:t>
            </w:r>
          </w:p>
          <w:p w:rsidR="00000000" w:rsidRPr="00D57F25" w:rsidP="00D57F25">
            <w:pPr>
              <w:pStyle w:val="ListBullet2"/>
            </w:pPr>
            <w:r w:rsidRPr="00D57F25">
              <w:t>nucleonic-type level sensors</w:t>
            </w:r>
          </w:p>
          <w:p w:rsidR="00000000" w:rsidRPr="00D57F25" w:rsidP="00D57F25">
            <w:pPr>
              <w:pStyle w:val="ListBullet2"/>
            </w:pPr>
            <w:r w:rsidRPr="00D57F25">
              <w:t>load cells used for level measurement</w:t>
            </w:r>
          </w:p>
          <w:p w:rsidR="00000000" w:rsidRPr="00D57F25" w:rsidP="00D57F25">
            <w:pPr>
              <w:pStyle w:val="ListBullet"/>
            </w:pPr>
            <w:r w:rsidRPr="00D57F25">
              <w:t>level/density measurement - non-intrusive type techniques, including:</w:t>
            </w:r>
          </w:p>
          <w:p w:rsidR="00000000" w:rsidRPr="00D57F25" w:rsidP="00D57F25">
            <w:pPr>
              <w:pStyle w:val="ListBullet2"/>
            </w:pPr>
            <w:r w:rsidRPr="00D57F25">
              <w:t xml:space="preserve">radiation-type density </w:t>
            </w:r>
            <w:r w:rsidRPr="00D57F25">
              <w:t>sensor</w:t>
            </w:r>
          </w:p>
          <w:p w:rsidR="00000000" w:rsidRPr="00D57F25" w:rsidP="00D57F25">
            <w:pPr>
              <w:pStyle w:val="ListBullet2"/>
            </w:pPr>
            <w:r w:rsidRPr="00D57F25">
              <w:t>hydrometer element used for density measurement</w:t>
            </w:r>
          </w:p>
          <w:p w:rsidR="00000000" w:rsidRPr="00D57F25" w:rsidP="00D57F25">
            <w:pPr>
              <w:pStyle w:val="ListBullet2"/>
            </w:pPr>
            <w:r w:rsidRPr="00D57F25">
              <w:t>vibrating tube type liquid density meter</w:t>
            </w:r>
          </w:p>
          <w:p w:rsidR="00000000" w:rsidRPr="00D57F25" w:rsidP="00D57F25">
            <w:pPr>
              <w:pStyle w:val="ListBullet"/>
            </w:pPr>
            <w:r w:rsidRPr="00D57F25">
              <w:t>level/density measurement calibration for:</w:t>
            </w:r>
          </w:p>
          <w:p w:rsidR="00000000" w:rsidRPr="00D57F25" w:rsidP="00D57F25">
            <w:pPr>
              <w:pStyle w:val="ListBullet2"/>
            </w:pPr>
            <w:r w:rsidRPr="00D57F25">
              <w:t xml:space="preserve">D/P cell calculations </w:t>
            </w:r>
          </w:p>
          <w:p w:rsidR="00000000" w:rsidRPr="00D57F25" w:rsidP="00D57F25">
            <w:pPr>
              <w:pStyle w:val="ListBullet2"/>
            </w:pPr>
            <w:r w:rsidRPr="00D57F25">
              <w:t>D/P calibration</w:t>
            </w:r>
          </w:p>
          <w:p w:rsidR="00000000" w:rsidRPr="00D57F25" w:rsidP="00D57F25">
            <w:pPr>
              <w:pStyle w:val="ListBullet2"/>
            </w:pPr>
            <w:r w:rsidRPr="00D57F25">
              <w:t>open tank installation level measurement</w:t>
            </w:r>
          </w:p>
          <w:p w:rsidR="00000000" w:rsidRPr="00D57F25" w:rsidP="00D57F25">
            <w:pPr>
              <w:pStyle w:val="ListBullet"/>
            </w:pPr>
            <w:r w:rsidRPr="00D57F25">
              <w:t>problem solutions in density/level measurement systems</w:t>
            </w:r>
          </w:p>
          <w:p w:rsidR="00000000" w:rsidRPr="00D57F25" w:rsidP="00D57F25">
            <w:pPr>
              <w:pStyle w:val="ListBullet"/>
            </w:pPr>
            <w:r w:rsidRPr="00D57F25">
              <w:t>relevant job safety assessments or risk mitigation processes, including risk control measures</w:t>
            </w:r>
          </w:p>
          <w:p w:rsidR="00000000" w:rsidRPr="00D57F25" w:rsidP="00D57F25">
            <w:pPr>
              <w:pStyle w:val="ListBullet"/>
            </w:pPr>
            <w:r w:rsidRPr="00D57F25">
              <w:t>relevant manufacturer specifications</w:t>
            </w:r>
          </w:p>
          <w:p w:rsidR="00000000" w:rsidRPr="00D57F25" w:rsidP="00D57F25">
            <w:pPr>
              <w:pStyle w:val="ListBullet"/>
            </w:pPr>
            <w:r w:rsidRPr="00D57F25">
              <w:t>relevant WHS/OHS legislated requirements</w:t>
            </w:r>
          </w:p>
          <w:p w:rsidR="00000000" w:rsidRPr="00D57F25" w:rsidP="00D57F25">
            <w:pPr>
              <w:pStyle w:val="ListBullet"/>
            </w:pPr>
            <w:r w:rsidRPr="00D57F25">
              <w:t>relevant workplace documentat</w:t>
            </w:r>
            <w:r w:rsidRPr="00D57F25">
              <w:t>ion</w:t>
            </w:r>
          </w:p>
          <w:p w:rsidR="00000000" w:rsidRPr="00D57F25" w:rsidP="00D57F25">
            <w:pPr>
              <w:pStyle w:val="ListBullet"/>
            </w:pPr>
            <w:r w:rsidRPr="00D57F25">
              <w:t>relevant workplace policies and procedures</w:t>
            </w:r>
          </w:p>
          <w:p w:rsidR="00000000" w:rsidRPr="00D57F25" w:rsidP="00D57F25">
            <w:pPr>
              <w:pStyle w:val="ListBullet"/>
            </w:pPr>
            <w:r w:rsidRPr="00D57F25">
              <w:t>safe working practices.</w:t>
            </w:r>
          </w:p>
        </w:tc>
      </w:tr>
    </w:tbl>
    <w:p w:rsidR="00000000" w:rsidRPr="00D57F25" w:rsidP="00D57F25">
      <w:pPr>
        <w:pStyle w:val="NoPaddingFontSize1"/>
      </w:pPr>
    </w:p>
    <w:p w:rsidR="00000000" w:rsidRPr="00D57F25" w:rsidP="00D57F25">
      <w:pPr>
        <w:pStyle w:val="AllowPageBreak"/>
      </w:pPr>
    </w:p>
    <w:p w:rsidR="00000000" w:rsidRPr="00D57F25" w:rsidP="00D57F25">
      <w:pPr>
        <w:pStyle w:val="Heading1"/>
      </w:pPr>
      <w:bookmarkStart w:id="4" w:name="O_1082871"/>
      <w:bookmarkEnd w:id="4"/>
      <w:r w:rsidRPr="00D57F25">
        <w:t>Assessment Conditions</w:t>
      </w:r>
    </w:p>
    <w:tbl>
      <w:tblPr>
        <w:tblW w:w="9497" w:type="dxa"/>
        <w:tblLayout w:type="fixed"/>
        <w:tblCellMar>
          <w:left w:w="62" w:type="dxa"/>
          <w:right w:w="62" w:type="dxa"/>
        </w:tblCellMar>
        <w:tblLook w:val="0000"/>
      </w:tblPr>
      <w:tblGrid>
        <w:gridCol w:w="9497"/>
      </w:tblGrid>
      <w:tr w:rsidTr="00D57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7F25" w:rsidP="00D57F25">
            <w:pPr>
              <w:pStyle w:val="BodyText"/>
            </w:pPr>
            <w:r w:rsidRPr="00D57F25">
              <w:t xml:space="preserve">Assessors must hold credentials specified within the Standards for Registered Training Organisations current at the time of assessment. </w:t>
            </w:r>
          </w:p>
          <w:p w:rsidR="00000000" w:rsidRPr="00D57F25" w:rsidP="00D57F25">
            <w:pPr>
              <w:pStyle w:val="BodyText"/>
            </w:pPr>
            <w:r w:rsidRPr="00D57F25">
              <w:t>Assessment must satisfy the Principles of Assessment and Rules of Evidence and all regulatory requirements included within the Standards for Registered Training Organisations current at the time of assessment.</w:t>
            </w:r>
          </w:p>
          <w:p w:rsidR="00000000" w:rsidRPr="00D57F25" w:rsidP="00D57F25">
            <w:pPr>
              <w:pStyle w:val="BodyText"/>
            </w:pPr>
            <w:r w:rsidRPr="00D57F25">
              <w:t>Assessment must occur in workplace operational</w:t>
            </w:r>
            <w:r w:rsidRPr="00D57F25">
              <w:t xml:space="preserve"> situations where it is appropriate to do so; where this is not appropriate, assessment must occur in simulated workplace operational situations that replicate workplace conditions.</w:t>
            </w:r>
          </w:p>
          <w:p w:rsidR="00000000" w:rsidRPr="00D57F25" w:rsidP="00D57F25">
            <w:pPr>
              <w:pStyle w:val="BodyText"/>
            </w:pPr>
            <w:r w:rsidRPr="00D57F25">
              <w:t>Assessment processes and techniques must be appropriate to the language, l</w:t>
            </w:r>
            <w:r w:rsidRPr="00D57F25">
              <w:t>iteracy and numeracy requirements of the work being performed and the needs of the candidate.</w:t>
            </w:r>
          </w:p>
          <w:p w:rsidR="00000000" w:rsidRPr="00D57F25" w:rsidP="00D57F25">
            <w:pPr>
              <w:pStyle w:val="BodyText"/>
            </w:pPr>
            <w:r w:rsidRPr="00D57F25">
              <w:t>Resources for assessment must include access to:</w:t>
            </w:r>
          </w:p>
          <w:p w:rsidR="00000000" w:rsidRPr="00D57F25" w:rsidP="00D57F25">
            <w:pPr>
              <w:pStyle w:val="ListBullet"/>
            </w:pPr>
            <w:r w:rsidRPr="00D57F25">
              <w:t>a range of relevant exercises, case studies and/or other simulations</w:t>
            </w:r>
          </w:p>
          <w:p w:rsidR="00000000" w:rsidRPr="00D57F25" w:rsidP="00D57F25">
            <w:pPr>
              <w:pStyle w:val="ListBullet"/>
            </w:pPr>
            <w:r w:rsidRPr="00D57F25">
              <w:t xml:space="preserve">relevant and appropriate materials, tools, </w:t>
            </w:r>
            <w:r w:rsidRPr="00D57F25">
              <w:t xml:space="preserve">equipment and personal protective equipment (PPE) currently used in industry </w:t>
            </w:r>
          </w:p>
          <w:p w:rsidR="00000000" w:rsidRPr="00D57F25" w:rsidP="00D57F25">
            <w:pPr>
              <w:pStyle w:val="ListBullet"/>
            </w:pPr>
            <w:r w:rsidRPr="00D57F25">
              <w:t>applicable documentation, including workplace procedures, equipment specifications, regulations, codes of practice and operation manuals.</w:t>
            </w:r>
          </w:p>
        </w:tc>
      </w:tr>
    </w:tbl>
    <w:p w:rsidR="00000000" w:rsidRPr="00D57F25" w:rsidP="00D57F25">
      <w:pPr>
        <w:pStyle w:val="NoPaddingFontSize1"/>
      </w:pPr>
    </w:p>
    <w:p w:rsidR="00000000" w:rsidRPr="00D57F25" w:rsidP="00D57F25">
      <w:pPr>
        <w:pStyle w:val="AllowPageBreak"/>
      </w:pPr>
    </w:p>
    <w:p w:rsidR="00000000" w:rsidRPr="00D57F25" w:rsidP="00D57F25">
      <w:pPr>
        <w:pStyle w:val="Heading1"/>
      </w:pPr>
      <w:bookmarkStart w:id="5" w:name="O_1082874"/>
      <w:bookmarkEnd w:id="5"/>
      <w:r w:rsidRPr="00D57F25">
        <w:t>Links</w:t>
      </w:r>
    </w:p>
    <w:p w:rsidR="00000000" w:rsidRPr="00D57F25" w:rsidP="0014775B">
      <w:pPr>
        <w:pStyle w:val="BodyText"/>
      </w:pPr>
      <w:r w:rsidRPr="00D57F2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F61C1">
        <w:rPr>
          <w:rStyle w:val="Hyperlink"/>
        </w:rPr>
        <w:t>https://vetnet.gov.au/Pages/TrainingDocs.aspx?q=b8a8f136-5421-4ce1-92e0-2b50341431b6</w:t>
      </w:r>
      <w:r>
        <w:fldChar w:fldCharType="end"/>
      </w:r>
    </w:p>
    <w:p w:rsidR="00000000" w:rsidRPr="00D57F25" w:rsidP="00D57F25"/>
    <w:sectPr w:rsidSect="00D57F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25" w:rsidRPr="0014775B" w:rsidP="00147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5B" w:rsidP="00D57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75B" w:rsidP="00D57F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775B" w:rsidP="00D57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F25" w:rsidRPr="0014775B" w:rsidP="00147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5B" w:rsidRPr="002D2AF8" w:rsidP="00D57F25">
    <w:pPr>
      <w:pStyle w:val="Header"/>
      <w:framePr w:wrap="around"/>
    </w:pPr>
    <w:r>
      <w:fldChar w:fldCharType="begin"/>
    </w:r>
    <w:r>
      <w:instrText xml:space="preserve"> TITLE   \* MERGEFORMAT </w:instrText>
    </w:r>
    <w:r>
      <w:fldChar w:fldCharType="separate"/>
    </w:r>
    <w:r>
      <w:t>Assessment Requirements for UEEIC0038 Solve problems in density/level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4775B" w:rsidP="00D57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07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00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E7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F25"/>
    <w:pPr>
      <w:spacing w:before="360" w:after="60"/>
      <w:outlineLvl w:val="0"/>
    </w:pPr>
    <w:rPr>
      <w:sz w:val="32"/>
    </w:rPr>
  </w:style>
  <w:style w:type="paragraph" w:styleId="Heading2">
    <w:name w:val="heading 2"/>
    <w:basedOn w:val="HeadingBase"/>
    <w:next w:val="BodyText"/>
    <w:link w:val="Heading2Char"/>
    <w:qFormat/>
    <w:rsid w:val="00D57F25"/>
    <w:pPr>
      <w:keepLines/>
      <w:spacing w:before="240" w:after="120"/>
      <w:outlineLvl w:val="1"/>
    </w:pPr>
    <w:rPr>
      <w:sz w:val="28"/>
      <w:szCs w:val="40"/>
    </w:rPr>
  </w:style>
  <w:style w:type="paragraph" w:styleId="Heading3">
    <w:name w:val="heading 3"/>
    <w:basedOn w:val="HeadingBase"/>
    <w:next w:val="BodyText"/>
    <w:link w:val="Heading3Char"/>
    <w:qFormat/>
    <w:rsid w:val="00D57F25"/>
    <w:pPr>
      <w:spacing w:before="180" w:after="120"/>
      <w:outlineLvl w:val="2"/>
    </w:pPr>
    <w:rPr>
      <w:spacing w:val="-10"/>
      <w:kern w:val="32"/>
    </w:rPr>
  </w:style>
  <w:style w:type="paragraph" w:styleId="Heading4">
    <w:name w:val="heading 4"/>
    <w:basedOn w:val="HeadingBase"/>
    <w:next w:val="BodyText"/>
    <w:link w:val="Heading4Char"/>
    <w:qFormat/>
    <w:rsid w:val="00D57F25"/>
    <w:pPr>
      <w:spacing w:before="160" w:after="120"/>
      <w:outlineLvl w:val="3"/>
    </w:pPr>
    <w:rPr>
      <w:sz w:val="22"/>
    </w:rPr>
  </w:style>
  <w:style w:type="paragraph" w:styleId="Heading5">
    <w:name w:val="heading 5"/>
    <w:basedOn w:val="HeadingBase"/>
    <w:next w:val="Normal"/>
    <w:link w:val="Heading5Char"/>
    <w:qFormat/>
    <w:rsid w:val="00D57F25"/>
    <w:pPr>
      <w:spacing w:before="80"/>
      <w:outlineLvl w:val="4"/>
    </w:pPr>
    <w:rPr>
      <w:color w:val="918585"/>
      <w:sz w:val="20"/>
    </w:rPr>
  </w:style>
  <w:style w:type="paragraph" w:styleId="Heading6">
    <w:name w:val="heading 6"/>
    <w:basedOn w:val="HeadingBase"/>
    <w:next w:val="Normal"/>
    <w:link w:val="Heading6Char"/>
    <w:qFormat/>
    <w:rsid w:val="00D57F25"/>
    <w:pPr>
      <w:spacing w:before="60"/>
      <w:outlineLvl w:val="5"/>
    </w:pPr>
    <w:rPr>
      <w:color w:val="918585"/>
      <w:sz w:val="20"/>
    </w:rPr>
  </w:style>
  <w:style w:type="paragraph" w:styleId="Heading7">
    <w:name w:val="heading 7"/>
    <w:basedOn w:val="Normal"/>
    <w:next w:val="Normal"/>
    <w:link w:val="Heading7Char"/>
    <w:qFormat/>
    <w:rsid w:val="00D57F25"/>
    <w:pPr>
      <w:ind w:left="720"/>
      <w:outlineLvl w:val="6"/>
    </w:pPr>
    <w:rPr>
      <w:i/>
    </w:rPr>
  </w:style>
  <w:style w:type="paragraph" w:styleId="Heading8">
    <w:name w:val="heading 8"/>
    <w:basedOn w:val="Normal"/>
    <w:next w:val="Normal"/>
    <w:link w:val="Heading8Char"/>
    <w:qFormat/>
    <w:rsid w:val="00D57F25"/>
    <w:pPr>
      <w:ind w:left="720"/>
      <w:outlineLvl w:val="7"/>
    </w:pPr>
    <w:rPr>
      <w:i/>
    </w:rPr>
  </w:style>
  <w:style w:type="paragraph" w:styleId="Heading9">
    <w:name w:val="heading 9"/>
    <w:basedOn w:val="Normal"/>
    <w:next w:val="Normal"/>
    <w:link w:val="Heading9Char"/>
    <w:qFormat/>
    <w:rsid w:val="00D57F25"/>
    <w:pPr>
      <w:ind w:left="720"/>
      <w:outlineLvl w:val="8"/>
    </w:pPr>
    <w:rPr>
      <w:i/>
    </w:rPr>
  </w:style>
  <w:style w:type="character" w:default="1" w:styleId="DefaultParagraphFont">
    <w:name w:val="Default Paragraph Font"/>
    <w:uiPriority w:val="1"/>
    <w:unhideWhenUsed/>
    <w:rsid w:val="00D57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F25"/>
  </w:style>
  <w:style w:type="character" w:customStyle="1" w:styleId="Heading1Char">
    <w:name w:val="Heading 1 Char"/>
    <w:basedOn w:val="DefaultParagraphFont"/>
    <w:link w:val="Heading1"/>
    <w:rsid w:val="00D57F25"/>
    <w:rPr>
      <w:rFonts w:ascii="Times New Roman" w:eastAsia="Times New Roman" w:hAnsi="Times New Roman" w:cs="Times New Roman"/>
      <w:b/>
      <w:sz w:val="32"/>
      <w:szCs w:val="20"/>
      <w:lang w:eastAsia="en-US"/>
    </w:rPr>
  </w:style>
  <w:style w:type="paragraph" w:styleId="BodyText">
    <w:name w:val="Body Text"/>
    <w:basedOn w:val="Normal"/>
    <w:link w:val="BodyTextChar"/>
    <w:rsid w:val="00D57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F25"/>
    <w:rPr>
      <w:rFonts w:ascii="Times New Roman" w:eastAsia="Times New Roman" w:hAnsi="Times New Roman" w:cs="Times New Roman"/>
      <w:sz w:val="24"/>
      <w:lang w:eastAsia="en-US"/>
    </w:rPr>
  </w:style>
  <w:style w:type="paragraph" w:styleId="ListBullet">
    <w:name w:val="List Bullet"/>
    <w:basedOn w:val="List"/>
    <w:rsid w:val="00D57F25"/>
    <w:pPr>
      <w:numPr>
        <w:numId w:val="12"/>
      </w:numPr>
      <w:tabs>
        <w:tab w:val="clear" w:pos="340"/>
      </w:tabs>
      <w:spacing w:before="40" w:after="40"/>
    </w:pPr>
  </w:style>
  <w:style w:type="paragraph" w:styleId="ListBullet2">
    <w:name w:val="List Bullet 2"/>
    <w:basedOn w:val="List2"/>
    <w:rsid w:val="00D57F25"/>
    <w:pPr>
      <w:numPr>
        <w:numId w:val="13"/>
      </w:numPr>
      <w:tabs>
        <w:tab w:val="clear" w:pos="680"/>
      </w:tabs>
    </w:pPr>
  </w:style>
  <w:style w:type="paragraph" w:customStyle="1" w:styleId="SuperHeading">
    <w:name w:val="SuperHeading"/>
    <w:basedOn w:val="Normal"/>
    <w:rsid w:val="00D57F25"/>
    <w:pPr>
      <w:spacing w:before="240" w:after="120"/>
      <w:outlineLvl w:val="0"/>
    </w:pPr>
    <w:rPr>
      <w:rFonts w:ascii="Times New Roman" w:hAnsi="Times New Roman"/>
      <w:b/>
      <w:sz w:val="32"/>
    </w:rPr>
  </w:style>
  <w:style w:type="paragraph" w:customStyle="1" w:styleId="AllowPageBreak">
    <w:name w:val="AllowPageBreak"/>
    <w:rsid w:val="00D57F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7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F25"/>
    <w:rPr>
      <w:rFonts w:ascii="Courier New" w:eastAsia="Times New Roman" w:hAnsi="Courier New" w:cs="Times New Roman"/>
      <w:i/>
      <w:szCs w:val="20"/>
      <w:lang w:eastAsia="en-US"/>
    </w:rPr>
  </w:style>
  <w:style w:type="paragraph" w:customStyle="1" w:styleId="HeadingBase">
    <w:name w:val="Heading Base"/>
    <w:rsid w:val="00D57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F25"/>
    <w:pPr>
      <w:tabs>
        <w:tab w:val="right" w:leader="dot" w:pos="9072"/>
      </w:tabs>
      <w:ind w:left="567"/>
    </w:pPr>
    <w:rPr>
      <w:szCs w:val="22"/>
    </w:rPr>
  </w:style>
  <w:style w:type="paragraph" w:customStyle="1" w:styleId="TOCBase">
    <w:name w:val="TOC Base"/>
    <w:rsid w:val="00D57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F25"/>
    <w:pPr>
      <w:tabs>
        <w:tab w:val="right" w:leader="dot" w:pos="9072"/>
      </w:tabs>
      <w:spacing w:before="40" w:after="40"/>
      <w:ind w:left="284"/>
    </w:pPr>
    <w:rPr>
      <w:rFonts w:ascii="Times New Roman" w:hAnsi="Times New Roman"/>
    </w:rPr>
  </w:style>
  <w:style w:type="paragraph" w:styleId="TOC1">
    <w:name w:val="toc 1"/>
    <w:basedOn w:val="TOCBase"/>
    <w:next w:val="Normal"/>
    <w:rsid w:val="00D57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F25"/>
    <w:rPr>
      <w:rFonts w:ascii="Times New Roman" w:eastAsia="Times New Roman" w:hAnsi="Times New Roman" w:cs="Times New Roman"/>
      <w:sz w:val="16"/>
      <w:lang w:eastAsia="en-US"/>
    </w:rPr>
  </w:style>
  <w:style w:type="paragraph" w:styleId="Title">
    <w:name w:val="Title"/>
    <w:basedOn w:val="HeadingBase"/>
    <w:link w:val="TitleChar"/>
    <w:qFormat/>
    <w:rsid w:val="00D57F25"/>
    <w:pPr>
      <w:spacing w:before="5040"/>
      <w:jc w:val="center"/>
    </w:pPr>
    <w:rPr>
      <w:sz w:val="48"/>
      <w:szCs w:val="72"/>
      <w:lang w:val="en-US"/>
    </w:rPr>
  </w:style>
  <w:style w:type="character" w:customStyle="1" w:styleId="TitleChar">
    <w:name w:val="Title Char"/>
    <w:basedOn w:val="DefaultParagraphFont"/>
    <w:link w:val="Title"/>
    <w:rsid w:val="00D57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F25"/>
    <w:pPr>
      <w:tabs>
        <w:tab w:val="left" w:pos="3600"/>
        <w:tab w:val="left" w:pos="3958"/>
      </w:tabs>
    </w:pPr>
  </w:style>
  <w:style w:type="paragraph" w:styleId="List">
    <w:name w:val="List"/>
    <w:basedOn w:val="BodyText"/>
    <w:next w:val="BodyText"/>
    <w:rsid w:val="00D57F25"/>
    <w:pPr>
      <w:tabs>
        <w:tab w:val="left" w:pos="340"/>
      </w:tabs>
      <w:spacing w:before="60" w:after="60"/>
      <w:ind w:left="340" w:hanging="340"/>
    </w:pPr>
  </w:style>
  <w:style w:type="paragraph" w:customStyle="1" w:styleId="Note">
    <w:name w:val="Note"/>
    <w:basedOn w:val="BodyText"/>
    <w:rsid w:val="00D57F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7F25"/>
    <w:rPr>
      <w:b/>
      <w:spacing w:val="0"/>
    </w:rPr>
  </w:style>
  <w:style w:type="paragraph" w:customStyle="1" w:styleId="SuperTitle">
    <w:name w:val="SuperTitle"/>
    <w:basedOn w:val="Title"/>
    <w:rsid w:val="00D57F25"/>
    <w:pPr>
      <w:framePr w:wrap="auto" w:hAnchor="text" w:y="6049"/>
    </w:pPr>
    <w:rPr>
      <w:color w:val="000000"/>
      <w:sz w:val="40"/>
    </w:rPr>
  </w:style>
  <w:style w:type="paragraph" w:customStyle="1" w:styleId="TOCTitle">
    <w:name w:val="TOCTitle"/>
    <w:basedOn w:val="Heading1"/>
    <w:rsid w:val="00D57F25"/>
    <w:pPr>
      <w:spacing w:after="240"/>
      <w:jc w:val="center"/>
      <w:outlineLvl w:val="9"/>
    </w:pPr>
    <w:rPr>
      <w:caps/>
    </w:rPr>
  </w:style>
  <w:style w:type="paragraph" w:customStyle="1" w:styleId="Version">
    <w:name w:val="Version"/>
    <w:rsid w:val="00D57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F25"/>
    <w:pPr>
      <w:keepNext w:val="0"/>
      <w:tabs>
        <w:tab w:val="right" w:pos="4176"/>
      </w:tabs>
      <w:ind w:left="198" w:hanging="198"/>
    </w:pPr>
    <w:rPr>
      <w:rFonts w:ascii="Garamond" w:hAnsi="Garamond"/>
    </w:rPr>
  </w:style>
  <w:style w:type="paragraph" w:styleId="IndexHeading">
    <w:name w:val="index heading"/>
    <w:basedOn w:val="Normal"/>
    <w:next w:val="Index1"/>
    <w:semiHidden/>
    <w:rsid w:val="00D57F25"/>
    <w:pPr>
      <w:spacing w:before="120" w:after="120"/>
    </w:pPr>
    <w:rPr>
      <w:rFonts w:ascii="Arial" w:hAnsi="Arial"/>
      <w:b/>
      <w:color w:val="918585"/>
      <w:sz w:val="24"/>
    </w:rPr>
  </w:style>
  <w:style w:type="paragraph" w:styleId="Header">
    <w:name w:val="header"/>
    <w:basedOn w:val="Normal"/>
    <w:link w:val="HeaderChar"/>
    <w:rsid w:val="00D57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F25"/>
    <w:rPr>
      <w:rFonts w:ascii="Times New Roman" w:eastAsia="Times New Roman" w:hAnsi="Times New Roman" w:cs="Times New Roman"/>
      <w:sz w:val="16"/>
      <w:szCs w:val="20"/>
      <w:lang w:val="en-GB" w:eastAsia="en-US"/>
    </w:rPr>
  </w:style>
  <w:style w:type="paragraph" w:customStyle="1" w:styleId="Chapter">
    <w:name w:val="Chapter"/>
    <w:basedOn w:val="Normal"/>
    <w:rsid w:val="00D57F25"/>
    <w:pPr>
      <w:spacing w:before="240"/>
    </w:pPr>
    <w:rPr>
      <w:rFonts w:ascii="Times New Roman" w:hAnsi="Times New Roman"/>
      <w:smallCaps/>
      <w:spacing w:val="80"/>
      <w:sz w:val="28"/>
    </w:rPr>
  </w:style>
  <w:style w:type="paragraph" w:customStyle="1" w:styleId="InChapter">
    <w:name w:val="InChapter"/>
    <w:basedOn w:val="Heading3"/>
    <w:rsid w:val="00D57F25"/>
    <w:pPr>
      <w:spacing w:after="240"/>
      <w:outlineLvl w:val="9"/>
    </w:pPr>
    <w:rPr>
      <w:noProof/>
    </w:rPr>
  </w:style>
  <w:style w:type="paragraph" w:styleId="Index2">
    <w:name w:val="index 2"/>
    <w:basedOn w:val="Normal"/>
    <w:next w:val="Normal"/>
    <w:semiHidden/>
    <w:rsid w:val="00D57F25"/>
    <w:pPr>
      <w:tabs>
        <w:tab w:val="right" w:pos="4176"/>
      </w:tabs>
      <w:ind w:left="568" w:hanging="284"/>
    </w:pPr>
    <w:rPr>
      <w:rFonts w:ascii="Garamond" w:hAnsi="Garamond"/>
    </w:rPr>
  </w:style>
  <w:style w:type="paragraph" w:customStyle="1" w:styleId="Byline">
    <w:name w:val="Byline"/>
    <w:rsid w:val="00D57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F25"/>
    <w:pPr>
      <w:tabs>
        <w:tab w:val="clear" w:pos="3600"/>
        <w:tab w:val="clear" w:pos="3958"/>
      </w:tabs>
      <w:jc w:val="right"/>
    </w:pPr>
  </w:style>
  <w:style w:type="character" w:styleId="Emphasis">
    <w:name w:val="Emphasis"/>
    <w:basedOn w:val="DefaultParagraphFont"/>
    <w:qFormat/>
    <w:rsid w:val="00D57F25"/>
    <w:rPr>
      <w:i/>
    </w:rPr>
  </w:style>
  <w:style w:type="paragraph" w:styleId="Caption">
    <w:name w:val="caption"/>
    <w:basedOn w:val="BodyText"/>
    <w:next w:val="Normal"/>
    <w:qFormat/>
    <w:rsid w:val="00D57F25"/>
    <w:pPr>
      <w:framePr w:w="2268" w:hSpace="181" w:vSpace="181" w:wrap="around" w:vAnchor="text" w:hAnchor="page" w:x="1135" w:y="285" w:anchorLock="1"/>
    </w:pPr>
    <w:rPr>
      <w:i/>
    </w:rPr>
  </w:style>
  <w:style w:type="paragraph" w:customStyle="1" w:styleId="MiniTOCTitle">
    <w:name w:val="MiniTOCTitle"/>
    <w:basedOn w:val="Heading4"/>
    <w:rsid w:val="00D57F25"/>
    <w:pPr>
      <w:spacing w:before="240"/>
      <w:outlineLvl w:val="9"/>
    </w:pPr>
    <w:rPr>
      <w:noProof/>
      <w:sz w:val="24"/>
    </w:rPr>
  </w:style>
  <w:style w:type="paragraph" w:customStyle="1" w:styleId="MiniTOCItem">
    <w:name w:val="MiniTOCItem"/>
    <w:basedOn w:val="ListBullet"/>
    <w:rsid w:val="00D57F25"/>
    <w:pPr>
      <w:numPr>
        <w:numId w:val="0"/>
      </w:numPr>
      <w:tabs>
        <w:tab w:val="right" w:leader="dot" w:pos="6521"/>
      </w:tabs>
      <w:spacing w:before="0" w:after="0"/>
    </w:pPr>
  </w:style>
  <w:style w:type="paragraph" w:customStyle="1" w:styleId="TOFTitle">
    <w:name w:val="TOFTitle"/>
    <w:basedOn w:val="TOCTitle"/>
    <w:rsid w:val="00D57F25"/>
  </w:style>
  <w:style w:type="paragraph" w:styleId="TableofFigures">
    <w:name w:val="table of figures"/>
    <w:basedOn w:val="Normal"/>
    <w:next w:val="Normal"/>
    <w:semiHidden/>
    <w:rsid w:val="00D57F25"/>
    <w:pPr>
      <w:tabs>
        <w:tab w:val="right" w:leader="dot" w:pos="9072"/>
      </w:tabs>
      <w:ind w:left="970" w:hanging="403"/>
    </w:pPr>
    <w:rPr>
      <w:rFonts w:ascii="Times New Roman" w:hAnsi="Times New Roman"/>
      <w:b/>
    </w:rPr>
  </w:style>
  <w:style w:type="paragraph" w:styleId="ListNumber">
    <w:name w:val="List Number"/>
    <w:basedOn w:val="List"/>
    <w:rsid w:val="00D57F25"/>
    <w:pPr>
      <w:numPr>
        <w:numId w:val="15"/>
      </w:numPr>
      <w:tabs>
        <w:tab w:val="clear" w:pos="340"/>
      </w:tabs>
    </w:pPr>
  </w:style>
  <w:style w:type="character" w:customStyle="1" w:styleId="WingdingSymbols">
    <w:name w:val="Wingding Symbols"/>
    <w:rsid w:val="00D57F25"/>
    <w:rPr>
      <w:rFonts w:ascii="Wingdings" w:hAnsi="Wingdings"/>
    </w:rPr>
  </w:style>
  <w:style w:type="paragraph" w:customStyle="1" w:styleId="TableHeading">
    <w:name w:val="Table Heading"/>
    <w:basedOn w:val="HeadingBase"/>
    <w:rsid w:val="00D57F25"/>
    <w:pPr>
      <w:keepLines/>
      <w:pBdr>
        <w:bottom w:val="single" w:sz="6" w:space="1" w:color="918585"/>
      </w:pBdr>
      <w:spacing w:before="240"/>
    </w:pPr>
  </w:style>
  <w:style w:type="character" w:customStyle="1" w:styleId="HotSpot">
    <w:name w:val="HotSpot"/>
    <w:rsid w:val="00D57F25"/>
    <w:rPr>
      <w:color w:val="0033CC"/>
      <w:u w:val="none"/>
    </w:rPr>
  </w:style>
  <w:style w:type="paragraph" w:customStyle="1" w:styleId="BodyTextRight">
    <w:name w:val="Body Text Right"/>
    <w:basedOn w:val="BodyText"/>
    <w:rsid w:val="00D57F25"/>
    <w:pPr>
      <w:spacing w:before="0" w:after="0"/>
      <w:jc w:val="right"/>
    </w:pPr>
  </w:style>
  <w:style w:type="paragraph" w:styleId="Index3">
    <w:name w:val="index 3"/>
    <w:basedOn w:val="ListNumber2"/>
    <w:next w:val="Normal"/>
    <w:semiHidden/>
    <w:rsid w:val="00D57F25"/>
    <w:pPr>
      <w:numPr>
        <w:numId w:val="0"/>
      </w:numPr>
      <w:tabs>
        <w:tab w:val="right" w:leader="dot" w:pos="4176"/>
      </w:tabs>
    </w:pPr>
  </w:style>
  <w:style w:type="paragraph" w:styleId="ListNumber2">
    <w:name w:val="List Number 2"/>
    <w:basedOn w:val="List2"/>
    <w:rsid w:val="00D57F25"/>
    <w:pPr>
      <w:numPr>
        <w:numId w:val="10"/>
      </w:numPr>
      <w:tabs>
        <w:tab w:val="clear" w:pos="1060"/>
      </w:tabs>
    </w:pPr>
  </w:style>
  <w:style w:type="paragraph" w:customStyle="1" w:styleId="MarginNote">
    <w:name w:val="Margin Note"/>
    <w:basedOn w:val="BodyText"/>
    <w:rsid w:val="00D57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F25"/>
    <w:rPr>
      <w:sz w:val="32"/>
    </w:rPr>
  </w:style>
  <w:style w:type="paragraph" w:customStyle="1" w:styleId="HeadingProcedure">
    <w:name w:val="Heading Procedure"/>
    <w:basedOn w:val="HeadingBase"/>
    <w:next w:val="Normal"/>
    <w:rsid w:val="00D57F25"/>
    <w:pPr>
      <w:tabs>
        <w:tab w:val="left" w:pos="0"/>
      </w:tabs>
      <w:spacing w:before="120" w:after="60"/>
    </w:pPr>
    <w:rPr>
      <w:i/>
      <w:color w:val="918585"/>
      <w:sz w:val="22"/>
    </w:rPr>
  </w:style>
  <w:style w:type="paragraph" w:customStyle="1" w:styleId="TableBodyText">
    <w:name w:val="Table Body Text"/>
    <w:basedOn w:val="BodyText"/>
    <w:rsid w:val="00D57F25"/>
    <w:pPr>
      <w:spacing w:before="60" w:after="60"/>
    </w:pPr>
  </w:style>
  <w:style w:type="paragraph" w:styleId="ListContinue">
    <w:name w:val="List Continue"/>
    <w:basedOn w:val="List"/>
    <w:rsid w:val="00D57F25"/>
    <w:pPr>
      <w:ind w:firstLine="0"/>
    </w:pPr>
  </w:style>
  <w:style w:type="paragraph" w:customStyle="1" w:styleId="ListNote">
    <w:name w:val="List Note"/>
    <w:basedOn w:val="List"/>
    <w:rsid w:val="00D57F25"/>
    <w:pPr>
      <w:pBdr>
        <w:top w:val="single" w:sz="6" w:space="2" w:color="918585"/>
        <w:bottom w:val="single" w:sz="6" w:space="2" w:color="918585"/>
      </w:pBdr>
      <w:tabs>
        <w:tab w:val="left" w:pos="1021"/>
      </w:tabs>
      <w:ind w:firstLine="0"/>
    </w:pPr>
  </w:style>
  <w:style w:type="paragraph" w:customStyle="1" w:styleId="Warning">
    <w:name w:val="Warning"/>
    <w:basedOn w:val="BodyText"/>
    <w:rsid w:val="00D57F25"/>
    <w:pPr>
      <w:shd w:val="clear" w:color="auto" w:fill="D9D9D9"/>
      <w:tabs>
        <w:tab w:val="left" w:pos="992"/>
      </w:tabs>
      <w:ind w:left="119" w:right="119"/>
    </w:pPr>
    <w:rPr>
      <w:sz w:val="20"/>
    </w:rPr>
  </w:style>
  <w:style w:type="paragraph" w:customStyle="1" w:styleId="MarginIcons">
    <w:name w:val="Margin Icons"/>
    <w:basedOn w:val="BodyText"/>
    <w:rsid w:val="00D57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F25"/>
    <w:rPr>
      <w:rFonts w:ascii="Courier New" w:hAnsi="Courier New"/>
    </w:rPr>
  </w:style>
  <w:style w:type="paragraph" w:customStyle="1" w:styleId="NoteBullet">
    <w:name w:val="Note Bullet"/>
    <w:basedOn w:val="Note"/>
    <w:rsid w:val="00D57F25"/>
    <w:pPr>
      <w:tabs>
        <w:tab w:val="clear" w:pos="680"/>
      </w:tabs>
      <w:spacing w:before="60" w:after="60"/>
    </w:pPr>
  </w:style>
  <w:style w:type="paragraph" w:customStyle="1" w:styleId="SubHeading2">
    <w:name w:val="SubHeading2"/>
    <w:basedOn w:val="HeadingBase"/>
    <w:rsid w:val="00D57F25"/>
    <w:pPr>
      <w:spacing w:before="240" w:after="60"/>
    </w:pPr>
    <w:rPr>
      <w:sz w:val="20"/>
    </w:rPr>
  </w:style>
  <w:style w:type="paragraph" w:customStyle="1" w:styleId="SubHeading1">
    <w:name w:val="SubHeading1"/>
    <w:basedOn w:val="HeadingBase"/>
    <w:rsid w:val="00D57F25"/>
    <w:pPr>
      <w:spacing w:before="240" w:after="60"/>
    </w:pPr>
    <w:rPr>
      <w:color w:val="918585"/>
      <w:sz w:val="22"/>
    </w:rPr>
  </w:style>
  <w:style w:type="paragraph" w:customStyle="1" w:styleId="SideHeading">
    <w:name w:val="Side Heading"/>
    <w:basedOn w:val="HeadingBase"/>
    <w:rsid w:val="00D57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F25"/>
    <w:pPr>
      <w:tabs>
        <w:tab w:val="num" w:pos="360"/>
      </w:tabs>
    </w:pPr>
  </w:style>
  <w:style w:type="paragraph" w:styleId="PlainText">
    <w:name w:val="Plain Text"/>
    <w:basedOn w:val="Normal"/>
    <w:link w:val="PlainTextChar"/>
    <w:rsid w:val="00D57F25"/>
    <w:rPr>
      <w:sz w:val="20"/>
    </w:rPr>
  </w:style>
  <w:style w:type="character" w:customStyle="1" w:styleId="PlainTextChar">
    <w:name w:val="Plain Text Char"/>
    <w:basedOn w:val="DefaultParagraphFont"/>
    <w:link w:val="PlainText"/>
    <w:rsid w:val="00D57F25"/>
    <w:rPr>
      <w:rFonts w:ascii="Courier New" w:eastAsia="Times New Roman" w:hAnsi="Courier New" w:cs="Times New Roman"/>
      <w:sz w:val="20"/>
      <w:szCs w:val="20"/>
      <w:lang w:eastAsia="en-US"/>
    </w:rPr>
  </w:style>
  <w:style w:type="character" w:customStyle="1" w:styleId="MenuOption">
    <w:name w:val="Menu Option"/>
    <w:basedOn w:val="DefaultParagraphFont"/>
    <w:rsid w:val="00D57F25"/>
    <w:rPr>
      <w:b/>
      <w:smallCaps/>
    </w:rPr>
  </w:style>
  <w:style w:type="paragraph" w:customStyle="1" w:styleId="TableListNumber">
    <w:name w:val="Table List Number"/>
    <w:basedOn w:val="ListNumber"/>
    <w:rsid w:val="00D57F25"/>
    <w:pPr>
      <w:numPr>
        <w:numId w:val="0"/>
      </w:numPr>
    </w:pPr>
  </w:style>
  <w:style w:type="paragraph" w:styleId="TOC4">
    <w:name w:val="toc 4"/>
    <w:basedOn w:val="TOCBase"/>
    <w:next w:val="Normal"/>
    <w:semiHidden/>
    <w:rsid w:val="00D57F25"/>
    <w:pPr>
      <w:tabs>
        <w:tab w:val="right" w:leader="dot" w:pos="9071"/>
      </w:tabs>
      <w:ind w:left="1701"/>
    </w:pPr>
  </w:style>
  <w:style w:type="paragraph" w:customStyle="1" w:styleId="ListAlpha">
    <w:name w:val="List Alpha"/>
    <w:basedOn w:val="List"/>
    <w:rsid w:val="00D57F25"/>
    <w:pPr>
      <w:numPr>
        <w:numId w:val="9"/>
      </w:numPr>
    </w:pPr>
  </w:style>
  <w:style w:type="paragraph" w:customStyle="1" w:styleId="ListAlpha2">
    <w:name w:val="List Alpha 2"/>
    <w:basedOn w:val="List2"/>
    <w:rsid w:val="00D57F25"/>
    <w:pPr>
      <w:numPr>
        <w:numId w:val="8"/>
      </w:numPr>
    </w:pPr>
  </w:style>
  <w:style w:type="paragraph" w:styleId="List2">
    <w:name w:val="List 2"/>
    <w:basedOn w:val="BodyText"/>
    <w:rsid w:val="00D57F25"/>
    <w:pPr>
      <w:tabs>
        <w:tab w:val="left" w:pos="680"/>
      </w:tabs>
      <w:spacing w:before="60" w:after="60"/>
      <w:ind w:left="680" w:hanging="340"/>
    </w:pPr>
  </w:style>
  <w:style w:type="paragraph" w:styleId="List3">
    <w:name w:val="List 3"/>
    <w:basedOn w:val="BodyText"/>
    <w:rsid w:val="00D57F25"/>
    <w:pPr>
      <w:tabs>
        <w:tab w:val="left" w:pos="1021"/>
      </w:tabs>
      <w:spacing w:before="60" w:after="60"/>
      <w:ind w:left="1020" w:hanging="340"/>
    </w:pPr>
  </w:style>
  <w:style w:type="paragraph" w:styleId="List4">
    <w:name w:val="List 4"/>
    <w:basedOn w:val="BodyText"/>
    <w:rsid w:val="00D57F25"/>
    <w:pPr>
      <w:tabs>
        <w:tab w:val="left" w:pos="1361"/>
      </w:tabs>
      <w:spacing w:before="60" w:after="60"/>
      <w:ind w:left="1361" w:hanging="340"/>
    </w:pPr>
  </w:style>
  <w:style w:type="paragraph" w:styleId="List5">
    <w:name w:val="List 5"/>
    <w:basedOn w:val="BodyText"/>
    <w:rsid w:val="00D57F25"/>
    <w:pPr>
      <w:tabs>
        <w:tab w:val="left" w:pos="1701"/>
      </w:tabs>
      <w:spacing w:before="60" w:after="60"/>
      <w:ind w:left="1701" w:hanging="340"/>
    </w:pPr>
  </w:style>
  <w:style w:type="paragraph" w:styleId="ListBullet3">
    <w:name w:val="List Bullet 3"/>
    <w:basedOn w:val="List3"/>
    <w:rsid w:val="00D57F25"/>
    <w:pPr>
      <w:numPr>
        <w:numId w:val="14"/>
      </w:numPr>
      <w:tabs>
        <w:tab w:val="clear" w:pos="1021"/>
      </w:tabs>
      <w:ind w:left="1037" w:hanging="357"/>
    </w:pPr>
  </w:style>
  <w:style w:type="paragraph" w:styleId="ListBullet4">
    <w:name w:val="List Bullet 4"/>
    <w:basedOn w:val="List4"/>
    <w:rsid w:val="00D57F25"/>
    <w:pPr>
      <w:numPr>
        <w:numId w:val="3"/>
      </w:numPr>
      <w:tabs>
        <w:tab w:val="clear" w:pos="1361"/>
      </w:tabs>
    </w:pPr>
  </w:style>
  <w:style w:type="paragraph" w:styleId="ListBullet5">
    <w:name w:val="List Bullet 5"/>
    <w:basedOn w:val="List5"/>
    <w:rsid w:val="00D57F25"/>
    <w:pPr>
      <w:numPr>
        <w:numId w:val="4"/>
      </w:numPr>
    </w:pPr>
  </w:style>
  <w:style w:type="paragraph" w:styleId="ListContinue2">
    <w:name w:val="List Continue 2"/>
    <w:basedOn w:val="List2"/>
    <w:rsid w:val="00D57F25"/>
    <w:pPr>
      <w:ind w:firstLine="0"/>
    </w:pPr>
  </w:style>
  <w:style w:type="paragraph" w:styleId="ListContinue3">
    <w:name w:val="List Continue 3"/>
    <w:basedOn w:val="List3"/>
    <w:rsid w:val="00D57F25"/>
    <w:pPr>
      <w:ind w:left="1021" w:firstLine="0"/>
    </w:pPr>
  </w:style>
  <w:style w:type="paragraph" w:styleId="ListContinue4">
    <w:name w:val="List Continue 4"/>
    <w:basedOn w:val="List4"/>
    <w:rsid w:val="00D57F25"/>
    <w:pPr>
      <w:ind w:firstLine="0"/>
    </w:pPr>
  </w:style>
  <w:style w:type="paragraph" w:styleId="ListContinue5">
    <w:name w:val="List Continue 5"/>
    <w:basedOn w:val="List5"/>
    <w:rsid w:val="00D57F25"/>
    <w:pPr>
      <w:ind w:firstLine="0"/>
    </w:pPr>
  </w:style>
  <w:style w:type="paragraph" w:styleId="ListNumber3">
    <w:name w:val="List Number 3"/>
    <w:basedOn w:val="List3"/>
    <w:rsid w:val="00D57F25"/>
    <w:pPr>
      <w:numPr>
        <w:numId w:val="5"/>
      </w:numPr>
    </w:pPr>
  </w:style>
  <w:style w:type="paragraph" w:styleId="ListNumber4">
    <w:name w:val="List Number 4"/>
    <w:basedOn w:val="List4"/>
    <w:rsid w:val="00D57F25"/>
    <w:pPr>
      <w:numPr>
        <w:numId w:val="6"/>
      </w:numPr>
    </w:pPr>
  </w:style>
  <w:style w:type="paragraph" w:styleId="ListNumber5">
    <w:name w:val="List Number 5"/>
    <w:basedOn w:val="List5"/>
    <w:rsid w:val="00D57F25"/>
    <w:pPr>
      <w:numPr>
        <w:numId w:val="7"/>
      </w:numPr>
    </w:pPr>
  </w:style>
  <w:style w:type="paragraph" w:styleId="BlockText">
    <w:name w:val="Block Text"/>
    <w:basedOn w:val="Normal"/>
    <w:rsid w:val="00D57F25"/>
    <w:pPr>
      <w:spacing w:after="120"/>
      <w:ind w:left="1440" w:right="1440"/>
    </w:pPr>
  </w:style>
  <w:style w:type="character" w:customStyle="1" w:styleId="Subscript">
    <w:name w:val="Subscript"/>
    <w:basedOn w:val="DefaultParagraphFont"/>
    <w:rsid w:val="00D57F25"/>
    <w:rPr>
      <w:sz w:val="16"/>
      <w:vertAlign w:val="subscript"/>
    </w:rPr>
  </w:style>
  <w:style w:type="character" w:customStyle="1" w:styleId="Superscript">
    <w:name w:val="Superscript"/>
    <w:basedOn w:val="DefaultParagraphFont"/>
    <w:rsid w:val="00D57F25"/>
    <w:rPr>
      <w:sz w:val="16"/>
      <w:vertAlign w:val="superscript"/>
    </w:rPr>
  </w:style>
  <w:style w:type="character" w:customStyle="1" w:styleId="Symbols">
    <w:name w:val="Symbols"/>
    <w:basedOn w:val="DefaultParagraphFont"/>
    <w:rsid w:val="00D57F25"/>
    <w:rPr>
      <w:rFonts w:ascii="Symbol" w:hAnsi="Symbol"/>
    </w:rPr>
  </w:style>
  <w:style w:type="character" w:customStyle="1" w:styleId="MenuOptions">
    <w:name w:val="Menu Options"/>
    <w:basedOn w:val="DefaultParagraphFont"/>
    <w:rsid w:val="00D57F25"/>
    <w:rPr>
      <w:rFonts w:ascii="Arial Narrow" w:hAnsi="Arial Narrow"/>
      <w:smallCaps/>
    </w:rPr>
  </w:style>
  <w:style w:type="character" w:customStyle="1" w:styleId="Buttons">
    <w:name w:val="Buttons"/>
    <w:basedOn w:val="DefaultParagraphFont"/>
    <w:rsid w:val="00D57F25"/>
    <w:rPr>
      <w:b/>
    </w:rPr>
  </w:style>
  <w:style w:type="character" w:customStyle="1" w:styleId="Underlined">
    <w:name w:val="Underlined"/>
    <w:basedOn w:val="DefaultParagraphFont"/>
    <w:rsid w:val="00D57F25"/>
    <w:rPr>
      <w:u w:val="single"/>
    </w:rPr>
  </w:style>
  <w:style w:type="paragraph" w:customStyle="1" w:styleId="TableBodyTextRight">
    <w:name w:val="Table Body Text Right"/>
    <w:basedOn w:val="TableBodyText"/>
    <w:rsid w:val="00D57F25"/>
    <w:pPr>
      <w:widowControl w:val="0"/>
      <w:autoSpaceDE w:val="0"/>
      <w:autoSpaceDN w:val="0"/>
      <w:adjustRightInd w:val="0"/>
      <w:jc w:val="right"/>
    </w:pPr>
    <w:rPr>
      <w:rFonts w:cs="Arial"/>
      <w:szCs w:val="18"/>
    </w:rPr>
  </w:style>
  <w:style w:type="paragraph" w:customStyle="1" w:styleId="CopyrightText">
    <w:name w:val="Copyright Text"/>
    <w:basedOn w:val="BodyText"/>
    <w:rsid w:val="00D57F25"/>
    <w:rPr>
      <w:sz w:val="18"/>
    </w:rPr>
  </w:style>
  <w:style w:type="paragraph" w:customStyle="1" w:styleId="BodySmallRight">
    <w:name w:val="Body Small Right"/>
    <w:basedOn w:val="BodyTextRight"/>
    <w:rsid w:val="00D57F25"/>
    <w:rPr>
      <w:sz w:val="18"/>
      <w:szCs w:val="18"/>
    </w:rPr>
  </w:style>
  <w:style w:type="paragraph" w:customStyle="1" w:styleId="MarginEdition">
    <w:name w:val="Margin Edition"/>
    <w:basedOn w:val="MarginNote"/>
    <w:rsid w:val="00D57F25"/>
    <w:pPr>
      <w:spacing w:before="0" w:after="0"/>
    </w:pPr>
    <w:rPr>
      <w:rFonts w:ascii="Times New Roman" w:hAnsi="Times New Roman"/>
      <w:color w:val="999999"/>
    </w:rPr>
  </w:style>
  <w:style w:type="paragraph" w:customStyle="1" w:styleId="Spacer">
    <w:name w:val="Spacer"/>
    <w:basedOn w:val="Normal"/>
    <w:rsid w:val="00D57F25"/>
    <w:rPr>
      <w:sz w:val="2"/>
      <w:szCs w:val="2"/>
    </w:rPr>
  </w:style>
  <w:style w:type="character" w:customStyle="1" w:styleId="Small">
    <w:name w:val="Small"/>
    <w:basedOn w:val="DefaultParagraphFont"/>
    <w:rsid w:val="00D57F25"/>
    <w:rPr>
      <w:sz w:val="16"/>
    </w:rPr>
  </w:style>
  <w:style w:type="paragraph" w:customStyle="1" w:styleId="WideTable">
    <w:name w:val="Wide Table"/>
    <w:basedOn w:val="Normal"/>
    <w:rsid w:val="00D57F25"/>
    <w:pPr>
      <w:ind w:left="-1418"/>
    </w:pPr>
    <w:rPr>
      <w:sz w:val="2"/>
      <w:szCs w:val="2"/>
    </w:rPr>
  </w:style>
  <w:style w:type="character" w:styleId="PageNumber">
    <w:name w:val="page number"/>
    <w:basedOn w:val="DefaultParagraphFont"/>
    <w:rsid w:val="00D57F25"/>
  </w:style>
  <w:style w:type="paragraph" w:styleId="Quote">
    <w:name w:val="Quote"/>
    <w:basedOn w:val="Heading1"/>
    <w:link w:val="QuoteChar"/>
    <w:qFormat/>
    <w:rsid w:val="00D57F25"/>
    <w:rPr>
      <w:b w:val="0"/>
      <w:sz w:val="72"/>
      <w:szCs w:val="72"/>
      <w:lang w:val="en-NZ"/>
    </w:rPr>
  </w:style>
  <w:style w:type="character" w:customStyle="1" w:styleId="QuoteChar">
    <w:name w:val="Quote Char"/>
    <w:basedOn w:val="DefaultParagraphFont"/>
    <w:link w:val="Quote"/>
    <w:rsid w:val="00D57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F25"/>
    <w:pPr>
      <w:pageBreakBefore/>
    </w:pPr>
  </w:style>
  <w:style w:type="paragraph" w:customStyle="1" w:styleId="Border">
    <w:name w:val="Border"/>
    <w:basedOn w:val="Normal"/>
    <w:qFormat/>
    <w:rsid w:val="00D57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F25"/>
    <w:rPr>
      <w:b/>
      <w:bCs/>
      <w:i/>
      <w:iCs/>
      <w:color w:val="auto"/>
    </w:rPr>
  </w:style>
  <w:style w:type="paragraph" w:styleId="IntenseQuote">
    <w:name w:val="Intense Quote"/>
    <w:basedOn w:val="Normal"/>
    <w:next w:val="Normal"/>
    <w:link w:val="IntenseQuoteChar"/>
    <w:uiPriority w:val="30"/>
    <w:qFormat/>
    <w:rsid w:val="00D57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F25"/>
    <w:rPr>
      <w:smallCaps/>
      <w:color w:val="auto"/>
      <w:u w:val="single"/>
    </w:rPr>
  </w:style>
  <w:style w:type="character" w:styleId="IntenseReference">
    <w:name w:val="Intense Reference"/>
    <w:basedOn w:val="DefaultParagraphFont"/>
    <w:uiPriority w:val="32"/>
    <w:qFormat/>
    <w:rsid w:val="00D57F25"/>
    <w:rPr>
      <w:b/>
      <w:bCs/>
      <w:smallCaps/>
      <w:color w:val="auto"/>
      <w:spacing w:val="5"/>
      <w:u w:val="single"/>
    </w:rPr>
  </w:style>
  <w:style w:type="paragraph" w:customStyle="1" w:styleId="2ColumnHeading">
    <w:name w:val="2Column Heading"/>
    <w:basedOn w:val="BodyText"/>
    <w:qFormat/>
    <w:rsid w:val="00D57F25"/>
    <w:pPr>
      <w:spacing w:after="60"/>
      <w:ind w:left="-2268"/>
    </w:pPr>
    <w:rPr>
      <w:b/>
    </w:rPr>
  </w:style>
  <w:style w:type="paragraph" w:customStyle="1" w:styleId="Heading1TOC">
    <w:name w:val="Heading1 TOC"/>
    <w:basedOn w:val="Normal"/>
    <w:qFormat/>
    <w:rsid w:val="00D57F25"/>
    <w:pPr>
      <w:spacing w:before="240" w:after="120"/>
    </w:pPr>
    <w:rPr>
      <w:rFonts w:ascii="Times New Roman" w:hAnsi="Times New Roman"/>
      <w:b/>
      <w:sz w:val="32"/>
    </w:rPr>
  </w:style>
  <w:style w:type="paragraph" w:customStyle="1" w:styleId="Heading2TOC">
    <w:name w:val="Heading2 TOC"/>
    <w:basedOn w:val="Normal"/>
    <w:qFormat/>
    <w:rsid w:val="00D57F25"/>
    <w:pPr>
      <w:spacing w:before="240" w:after="60"/>
    </w:pPr>
    <w:rPr>
      <w:rFonts w:ascii="Times New Roman" w:hAnsi="Times New Roman"/>
      <w:b/>
      <w:sz w:val="28"/>
    </w:rPr>
  </w:style>
  <w:style w:type="character" w:customStyle="1" w:styleId="Underline">
    <w:name w:val="Underline"/>
    <w:basedOn w:val="DefaultParagraphFont"/>
    <w:qFormat/>
    <w:rsid w:val="00D57F25"/>
    <w:rPr>
      <w:u w:val="single"/>
    </w:rPr>
  </w:style>
  <w:style w:type="character" w:customStyle="1" w:styleId="BoldandItalics">
    <w:name w:val="Bold and Italics"/>
    <w:qFormat/>
    <w:rsid w:val="00D57F25"/>
    <w:rPr>
      <w:b/>
      <w:i/>
      <w:u w:val="none"/>
    </w:rPr>
  </w:style>
  <w:style w:type="paragraph" w:styleId="BalloonText">
    <w:name w:val="Balloon Text"/>
    <w:basedOn w:val="Normal"/>
    <w:link w:val="BalloonTextChar"/>
    <w:rsid w:val="00D57F25"/>
    <w:rPr>
      <w:rFonts w:ascii="Tahoma" w:hAnsi="Tahoma" w:cs="Tahoma"/>
      <w:sz w:val="16"/>
      <w:szCs w:val="16"/>
    </w:rPr>
  </w:style>
  <w:style w:type="character" w:customStyle="1" w:styleId="BalloonTextChar">
    <w:name w:val="Balloon Text Char"/>
    <w:basedOn w:val="DefaultParagraphFont"/>
    <w:link w:val="BalloonText"/>
    <w:rsid w:val="00D57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F25"/>
    <w:rPr>
      <w:b/>
      <w:color w:val="660033"/>
      <w:spacing w:val="0"/>
    </w:rPr>
  </w:style>
  <w:style w:type="paragraph" w:customStyle="1" w:styleId="Nameditemlist">
    <w:name w:val="Named item list"/>
    <w:basedOn w:val="BodyText"/>
    <w:qFormat/>
    <w:rsid w:val="00D57F25"/>
    <w:pPr>
      <w:tabs>
        <w:tab w:val="left" w:pos="2835"/>
      </w:tabs>
      <w:ind w:left="2835" w:hanging="2835"/>
    </w:pPr>
  </w:style>
  <w:style w:type="paragraph" w:customStyle="1" w:styleId="BodyTextnopadding">
    <w:name w:val="Body Text no padding"/>
    <w:basedOn w:val="BodyText"/>
    <w:qFormat/>
    <w:rsid w:val="00D57F25"/>
    <w:pPr>
      <w:spacing w:before="0" w:after="0"/>
    </w:pPr>
  </w:style>
  <w:style w:type="paragraph" w:customStyle="1" w:styleId="BodyTextBold">
    <w:name w:val="Body Text Bold"/>
    <w:basedOn w:val="BodyText"/>
    <w:qFormat/>
    <w:rsid w:val="00D57F25"/>
    <w:rPr>
      <w:b/>
    </w:rPr>
  </w:style>
  <w:style w:type="character" w:styleId="Hyperlink">
    <w:name w:val="Hyperlink"/>
    <w:basedOn w:val="DefaultParagraphFont"/>
    <w:uiPriority w:val="99"/>
    <w:unhideWhenUsed/>
    <w:rsid w:val="00147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4440</Characters>
  <Application>Microsoft Office Word</Application>
  <DocSecurity>0</DocSecurity>
  <Lines>116</Lines>
  <Paragraphs>97</Paragraphs>
  <ScaleCrop>false</ScaleCrop>
  <Company>Author-it Software Corporation Ltd.</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UEEIC0038 Solve problems in density/level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