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709" w:rsidP="00C80709">
      <w:pPr>
        <w:pStyle w:val="Title"/>
      </w:pPr>
      <w:r>
        <w:fldChar w:fldCharType="begin"/>
      </w:r>
      <w:r>
        <w:instrText xml:space="preserve"> TITLE   \* MERGEFORMAT </w:instrText>
      </w:r>
      <w:r>
        <w:fldChar w:fldCharType="separate"/>
      </w:r>
      <w:r>
        <w:t>Assessment Requirements for UEEIC0034 Set up industrial field control devices</w:t>
      </w:r>
      <w:r>
        <w:fldChar w:fldCharType="end"/>
      </w:r>
    </w:p>
    <w:p w:rsidR="00C80709" w:rsidP="00C80709">
      <w:pPr>
        <w:pStyle w:val="Version"/>
        <w:sectPr w:rsidSect="00205A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ADF" w:rsidP="00205ADF">
      <w:pPr>
        <w:pStyle w:val="SuperHeading"/>
      </w:pPr>
      <w:r w:rsidRPr="00205ADF">
        <w:t>Assessment Requirements for UEEIC0034 Set up industrial field control devices</w:t>
      </w:r>
    </w:p>
    <w:p w:rsidR="00000000" w:rsidRPr="00205ADF" w:rsidP="00205ADF">
      <w:pPr>
        <w:pStyle w:val="Heading1"/>
      </w:pPr>
      <w:bookmarkStart w:id="1" w:name="O_1082792"/>
      <w:bookmarkEnd w:id="1"/>
      <w:r w:rsidRPr="00205ADF">
        <w:t>Modification History</w:t>
      </w:r>
    </w:p>
    <w:tbl>
      <w:tblPr>
        <w:tblW w:w="9497" w:type="dxa"/>
        <w:tblLayout w:type="fixed"/>
        <w:tblCellMar>
          <w:left w:w="62" w:type="dxa"/>
          <w:right w:w="62" w:type="dxa"/>
        </w:tblCellMar>
        <w:tblLook w:val="0000"/>
      </w:tblPr>
      <w:tblGrid>
        <w:gridCol w:w="9497"/>
      </w:tblGrid>
      <w:tr w:rsidTr="00205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ADF" w:rsidP="00205ADF">
            <w:pPr>
              <w:pStyle w:val="BodyText"/>
            </w:pPr>
            <w:r w:rsidRPr="00205ADF">
              <w:t>Release 1. This is the first release of this unit of competency in the UEE Electrotechnology Training Package.</w:t>
            </w:r>
          </w:p>
        </w:tc>
      </w:tr>
    </w:tbl>
    <w:p w:rsidR="00000000" w:rsidRPr="00205ADF" w:rsidP="00205ADF">
      <w:pPr>
        <w:pStyle w:val="NoPaddingFontSize1"/>
      </w:pPr>
    </w:p>
    <w:p w:rsidR="00000000" w:rsidRPr="00205ADF" w:rsidP="00205ADF">
      <w:pPr>
        <w:pStyle w:val="AllowPageBreak"/>
      </w:pPr>
    </w:p>
    <w:p w:rsidR="00000000" w:rsidRPr="00205ADF" w:rsidP="00205ADF">
      <w:pPr>
        <w:pStyle w:val="Heading1"/>
      </w:pPr>
      <w:bookmarkStart w:id="2" w:name="O_1082793"/>
      <w:bookmarkEnd w:id="2"/>
      <w:r w:rsidRPr="00205ADF">
        <w:t>Performance Evidence</w:t>
      </w:r>
    </w:p>
    <w:tbl>
      <w:tblPr>
        <w:tblW w:w="9497" w:type="dxa"/>
        <w:tblLayout w:type="fixed"/>
        <w:tblCellMar>
          <w:left w:w="62" w:type="dxa"/>
          <w:right w:w="62" w:type="dxa"/>
        </w:tblCellMar>
        <w:tblLook w:val="0000"/>
      </w:tblPr>
      <w:tblGrid>
        <w:gridCol w:w="9497"/>
      </w:tblGrid>
      <w:tr w:rsidTr="00205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5ADF">
            <w:pPr>
              <w:pStyle w:val="BodyText"/>
              <w:rPr>
                <w:lang w:val="en-NZ"/>
              </w:rPr>
            </w:pPr>
            <w:r w:rsidRPr="00205ADF">
              <w:t xml:space="preserve">Evidence required to demonstrate competence in this unit must be relevant to and satisfy all of the requirements of the elements, performance criteria and range of conditions on at least two separate occasions and include: </w:t>
            </w:r>
          </w:p>
        </w:tc>
      </w:tr>
      <w:tr w:rsidTr="00205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ADF" w:rsidP="00205ADF">
            <w:pPr>
              <w:pStyle w:val="ListBullet"/>
            </w:pPr>
            <w:r w:rsidRPr="00205ADF">
              <w:t xml:space="preserve">applying </w:t>
            </w:r>
            <w:r w:rsidRPr="00205ADF">
              <w:t xml:space="preserve">relevant work health and safety (WHS)/occupational health and safety (OHS) requirements, including implementing risk control measures </w:t>
            </w:r>
          </w:p>
          <w:p w:rsidR="00000000" w:rsidRPr="00205ADF" w:rsidP="00205ADF">
            <w:pPr>
              <w:pStyle w:val="ListBullet"/>
            </w:pPr>
            <w:r w:rsidRPr="00205ADF">
              <w:t>applying sustainable energy principles and practices</w:t>
            </w:r>
          </w:p>
          <w:p w:rsidR="00000000" w:rsidRPr="00205ADF" w:rsidP="00205ADF">
            <w:pPr>
              <w:pStyle w:val="ListBullet"/>
            </w:pPr>
            <w:r w:rsidRPr="00205ADF">
              <w:t>complying with scheduled timeframes</w:t>
            </w:r>
          </w:p>
          <w:p w:rsidR="00000000" w:rsidRPr="00205ADF" w:rsidP="00205ADF">
            <w:pPr>
              <w:pStyle w:val="ListBullet"/>
            </w:pPr>
            <w:r w:rsidRPr="00205ADF">
              <w:t>dealing with unplanned events/si</w:t>
            </w:r>
            <w:r w:rsidRPr="00205ADF">
              <w:t>tuations in accordance with workplace procedures in a manner that minimises risk to personnel and equipment</w:t>
            </w:r>
          </w:p>
          <w:p w:rsidR="00000000" w:rsidRPr="00205ADF" w:rsidP="00205ADF">
            <w:pPr>
              <w:pStyle w:val="ListBullet"/>
            </w:pPr>
            <w:r w:rsidRPr="00205ADF">
              <w:t>documenting field control device set-up in accordance workplace procedures</w:t>
            </w:r>
          </w:p>
          <w:p w:rsidR="00000000" w:rsidRPr="00205ADF" w:rsidP="00205ADF">
            <w:pPr>
              <w:pStyle w:val="ListBullet"/>
            </w:pPr>
            <w:r w:rsidRPr="00205ADF">
              <w:t>identifying field control devices to be set up</w:t>
            </w:r>
          </w:p>
          <w:p w:rsidR="00000000" w:rsidRPr="00205ADF" w:rsidP="00205ADF">
            <w:pPr>
              <w:pStyle w:val="ListBullet"/>
            </w:pPr>
            <w:r w:rsidRPr="00205ADF">
              <w:t>positioning and adjusting devices in accordance with manufacturer operating instructions and system requirements</w:t>
            </w:r>
          </w:p>
          <w:p w:rsidR="00000000" w:rsidRPr="00205ADF" w:rsidP="00205ADF">
            <w:pPr>
              <w:pStyle w:val="ListBullet"/>
            </w:pPr>
            <w:r w:rsidRPr="00205ADF">
              <w:t>preparing and setting up industrial field control devices</w:t>
            </w:r>
          </w:p>
          <w:p w:rsidR="00000000" w:rsidRPr="00205ADF" w:rsidP="00205ADF">
            <w:pPr>
              <w:pStyle w:val="ListBullet"/>
            </w:pPr>
            <w:r w:rsidRPr="00205ADF">
              <w:t>testing and documenting setting up of industrial field control devices</w:t>
            </w:r>
          </w:p>
          <w:p w:rsidR="00000000" w:rsidRPr="00205ADF" w:rsidP="00205ADF">
            <w:pPr>
              <w:pStyle w:val="ListBullet"/>
            </w:pPr>
            <w:r w:rsidRPr="00205ADF">
              <w:t xml:space="preserve">testing field </w:t>
            </w:r>
            <w:r w:rsidRPr="00205ADF">
              <w:t>devices and making final adjustments to correct anomalies.</w:t>
            </w:r>
          </w:p>
        </w:tc>
      </w:tr>
    </w:tbl>
    <w:p w:rsidR="00000000" w:rsidRPr="00205ADF" w:rsidP="00205ADF">
      <w:pPr>
        <w:pStyle w:val="NoPaddingFontSize1"/>
      </w:pPr>
    </w:p>
    <w:p w:rsidR="00000000" w:rsidRPr="00205ADF" w:rsidP="00205ADF">
      <w:pPr>
        <w:pStyle w:val="AllowPageBreak"/>
      </w:pPr>
    </w:p>
    <w:p w:rsidR="00000000" w:rsidRPr="00205ADF" w:rsidP="00205ADF">
      <w:pPr>
        <w:pStyle w:val="Heading1"/>
      </w:pPr>
      <w:bookmarkStart w:id="3" w:name="O_1082794"/>
      <w:bookmarkEnd w:id="3"/>
      <w:r w:rsidRPr="00205ADF">
        <w:t>Knowledge Evidence</w:t>
      </w:r>
    </w:p>
    <w:tbl>
      <w:tblPr>
        <w:tblW w:w="9497" w:type="dxa"/>
        <w:tblLayout w:type="fixed"/>
        <w:tblCellMar>
          <w:left w:w="62" w:type="dxa"/>
          <w:right w:w="62" w:type="dxa"/>
        </w:tblCellMar>
        <w:tblLook w:val="0000"/>
      </w:tblPr>
      <w:tblGrid>
        <w:gridCol w:w="9497"/>
      </w:tblGrid>
      <w:tr w:rsidTr="00205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5ADF">
            <w:pPr>
              <w:pStyle w:val="BodyText"/>
              <w:rPr>
                <w:lang w:val="en-NZ"/>
              </w:rPr>
            </w:pPr>
            <w:r w:rsidRPr="00205ADF">
              <w:t>Evidence required to demonstrate competence in this unit must be relevant to and satisfy all of the requirements of the elements, performance criteria and ra</w:t>
            </w:r>
            <w:r w:rsidRPr="00205ADF">
              <w:t xml:space="preserve">nge of conditions and include knowledge of: </w:t>
            </w:r>
          </w:p>
        </w:tc>
      </w:tr>
      <w:tr w:rsidTr="00205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ADF" w:rsidP="00205ADF">
            <w:pPr>
              <w:pStyle w:val="ListBullet"/>
            </w:pPr>
            <w:r w:rsidRPr="00205ADF">
              <w:t>industrial processes and the terminology used in measurement, including:</w:t>
            </w:r>
          </w:p>
          <w:p w:rsidR="00000000" w:rsidRPr="00205ADF" w:rsidP="00205ADF">
            <w:pPr>
              <w:pStyle w:val="ListBullet2"/>
            </w:pPr>
            <w:r w:rsidRPr="00205ADF">
              <w:t>forms of energy</w:t>
            </w:r>
          </w:p>
          <w:p w:rsidR="00000000" w:rsidRPr="00205ADF" w:rsidP="00205ADF">
            <w:pPr>
              <w:pStyle w:val="ListBullet2"/>
            </w:pPr>
            <w:r w:rsidRPr="00205ADF">
              <w:t>general classification of transducers</w:t>
            </w:r>
          </w:p>
          <w:p w:rsidR="00000000" w:rsidRPr="00205ADF" w:rsidP="00205ADF">
            <w:pPr>
              <w:pStyle w:val="ListBullet2"/>
            </w:pPr>
            <w:r w:rsidRPr="00205ADF">
              <w:t>measurement technology</w:t>
            </w:r>
          </w:p>
          <w:p w:rsidR="00000000" w:rsidRPr="00205ADF" w:rsidP="00205ADF">
            <w:pPr>
              <w:pStyle w:val="ListBullet2"/>
            </w:pPr>
            <w:r w:rsidRPr="00205ADF">
              <w:t>static accuracy</w:t>
            </w:r>
          </w:p>
          <w:p w:rsidR="00000000" w:rsidRPr="00205ADF" w:rsidP="00205ADF">
            <w:pPr>
              <w:pStyle w:val="ListBullet"/>
            </w:pPr>
            <w:r w:rsidRPr="00205ADF">
              <w:t>devices used in optoelectronic systems, including:</w:t>
            </w:r>
          </w:p>
          <w:p w:rsidR="00000000" w:rsidRPr="00205ADF" w:rsidP="00205ADF">
            <w:pPr>
              <w:pStyle w:val="ListBullet2"/>
            </w:pPr>
            <w:r w:rsidRPr="00205ADF">
              <w:t>physics of light</w:t>
            </w:r>
          </w:p>
          <w:p w:rsidR="00000000" w:rsidRPr="00205ADF" w:rsidP="00205ADF">
            <w:pPr>
              <w:pStyle w:val="ListBullet2"/>
            </w:pPr>
            <w:r w:rsidRPr="00205ADF">
              <w:t>spectral response</w:t>
            </w:r>
          </w:p>
          <w:p w:rsidR="00000000" w:rsidRPr="00205ADF" w:rsidP="00205ADF">
            <w:pPr>
              <w:pStyle w:val="ListBullet2"/>
            </w:pPr>
            <w:r w:rsidRPr="00205ADF">
              <w:t>photometry</w:t>
            </w:r>
          </w:p>
          <w:p w:rsidR="00000000" w:rsidRPr="00205ADF" w:rsidP="00205ADF">
            <w:pPr>
              <w:pStyle w:val="ListBullet2"/>
            </w:pPr>
            <w:r w:rsidRPr="00205ADF">
              <w:t>light sources and detectors</w:t>
            </w:r>
          </w:p>
          <w:p w:rsidR="00000000" w:rsidRPr="00205ADF" w:rsidP="00205ADF">
            <w:pPr>
              <w:pStyle w:val="ListBullet2"/>
            </w:pPr>
            <w:r w:rsidRPr="00205ADF">
              <w:t>lens and mirror theory</w:t>
            </w:r>
          </w:p>
          <w:p w:rsidR="00000000" w:rsidRPr="00205ADF" w:rsidP="00205ADF">
            <w:pPr>
              <w:pStyle w:val="ListBullet2"/>
            </w:pPr>
            <w:r w:rsidRPr="00205ADF">
              <w:t>optoelectronic systems and photoelectric switches</w:t>
            </w:r>
          </w:p>
          <w:p w:rsidR="00000000" w:rsidRPr="00205ADF" w:rsidP="00205ADF">
            <w:pPr>
              <w:pStyle w:val="ListBullet2"/>
            </w:pPr>
            <w:r w:rsidRPr="00205ADF">
              <w:t>optoelectronic circuits</w:t>
            </w:r>
          </w:p>
          <w:p w:rsidR="00000000" w:rsidRPr="00205ADF" w:rsidP="00205ADF">
            <w:pPr>
              <w:pStyle w:val="ListBullet2"/>
            </w:pPr>
            <w:r w:rsidRPr="00205ADF">
              <w:t>the laser</w:t>
            </w:r>
          </w:p>
          <w:p w:rsidR="00000000" w:rsidRPr="00205ADF" w:rsidP="00205ADF">
            <w:pPr>
              <w:pStyle w:val="ListBullet"/>
            </w:pPr>
            <w:r w:rsidRPr="00205ADF">
              <w:t xml:space="preserve">temperature detection </w:t>
            </w:r>
            <w:r w:rsidRPr="00205ADF">
              <w:t>and measurement and their circuit configurations, including:</w:t>
            </w:r>
          </w:p>
          <w:p w:rsidR="00000000" w:rsidRPr="00205ADF" w:rsidP="00205ADF">
            <w:pPr>
              <w:pStyle w:val="ListBullet2"/>
            </w:pPr>
            <w:r w:rsidRPr="00205ADF">
              <w:t>introduction to temperature sensing</w:t>
            </w:r>
          </w:p>
          <w:p w:rsidR="00000000" w:rsidRPr="00205ADF" w:rsidP="00205ADF">
            <w:pPr>
              <w:pStyle w:val="ListBullet2"/>
            </w:pPr>
            <w:r w:rsidRPr="00205ADF">
              <w:t>bimetallic and filled thermal sensors</w:t>
            </w:r>
          </w:p>
          <w:p w:rsidR="00000000" w:rsidRPr="00205ADF" w:rsidP="00205ADF">
            <w:pPr>
              <w:pStyle w:val="ListBullet2"/>
            </w:pPr>
            <w:r w:rsidRPr="00205ADF">
              <w:t>thermocouples, resistance temperature detectors, thermistors, solid state temperature, sensors, integrated circuit temperature sensors and phrometers</w:t>
            </w:r>
          </w:p>
          <w:p w:rsidR="00000000" w:rsidRPr="00205ADF" w:rsidP="00205ADF">
            <w:pPr>
              <w:pStyle w:val="ListBullet2"/>
            </w:pPr>
            <w:r w:rsidRPr="00205ADF">
              <w:t>control circuits using temperature detectors</w:t>
            </w:r>
          </w:p>
          <w:p w:rsidR="00000000" w:rsidRPr="00205ADF" w:rsidP="00205ADF">
            <w:pPr>
              <w:pStyle w:val="ListBullet"/>
            </w:pPr>
            <w:r w:rsidRPr="00205ADF">
              <w:t>measurement of pressure, flow and chemical, including:</w:t>
            </w:r>
          </w:p>
          <w:p w:rsidR="00000000" w:rsidRPr="00205ADF" w:rsidP="00205ADF">
            <w:pPr>
              <w:pStyle w:val="ListBullet2"/>
            </w:pPr>
            <w:r w:rsidRPr="00205ADF">
              <w:t>diap</w:t>
            </w:r>
            <w:r w:rsidRPr="00205ADF">
              <w:t>hragm, bellows and venturi</w:t>
            </w:r>
          </w:p>
          <w:p w:rsidR="00000000" w:rsidRPr="00205ADF" w:rsidP="00205ADF">
            <w:pPr>
              <w:pStyle w:val="ListBullet2"/>
            </w:pPr>
            <w:r w:rsidRPr="00205ADF">
              <w:t>strain gauges and load cells</w:t>
            </w:r>
          </w:p>
          <w:p w:rsidR="00000000" w:rsidRPr="00205ADF" w:rsidP="00205ADF">
            <w:pPr>
              <w:pStyle w:val="ListBullet2"/>
            </w:pPr>
            <w:r w:rsidRPr="00205ADF">
              <w:t>ultrasonic and magnetic flowmeters</w:t>
            </w:r>
          </w:p>
          <w:p w:rsidR="00000000" w:rsidRPr="00205ADF" w:rsidP="00205ADF">
            <w:pPr>
              <w:pStyle w:val="ListBullet2"/>
            </w:pPr>
            <w:r w:rsidRPr="00205ADF">
              <w:t>measurement technology and accuracy</w:t>
            </w:r>
          </w:p>
          <w:p w:rsidR="00000000" w:rsidRPr="00205ADF" w:rsidP="00205ADF">
            <w:pPr>
              <w:pStyle w:val="ListBullet2"/>
            </w:pPr>
            <w:r w:rsidRPr="00205ADF">
              <w:t>viscosity, humidity and pH</w:t>
            </w:r>
          </w:p>
          <w:p w:rsidR="00000000" w:rsidRPr="00205ADF" w:rsidP="00205ADF">
            <w:pPr>
              <w:pStyle w:val="ListBullet"/>
            </w:pPr>
            <w:r w:rsidRPr="00205ADF">
              <w:t>linear, angular and rotary motion detection, including:</w:t>
            </w:r>
          </w:p>
          <w:p w:rsidR="00000000" w:rsidRPr="00205ADF" w:rsidP="00205ADF">
            <w:pPr>
              <w:pStyle w:val="ListBullet2"/>
            </w:pPr>
            <w:r w:rsidRPr="00205ADF">
              <w:t>linear motion sensors</w:t>
            </w:r>
          </w:p>
          <w:p w:rsidR="00000000" w:rsidRPr="00205ADF" w:rsidP="00205ADF">
            <w:pPr>
              <w:pStyle w:val="ListBullet2"/>
            </w:pPr>
            <w:r w:rsidRPr="00205ADF">
              <w:t>angular and rotary mot</w:t>
            </w:r>
            <w:r w:rsidRPr="00205ADF">
              <w:t>ion sensors</w:t>
            </w:r>
          </w:p>
          <w:p w:rsidR="00000000" w:rsidRPr="00205ADF" w:rsidP="00205ADF">
            <w:pPr>
              <w:pStyle w:val="ListBullet2"/>
            </w:pPr>
            <w:r w:rsidRPr="00205ADF">
              <w:t>shaft angle encoders</w:t>
            </w:r>
          </w:p>
          <w:p w:rsidR="00000000" w:rsidRPr="00205ADF" w:rsidP="00205ADF">
            <w:pPr>
              <w:pStyle w:val="ListBullet2"/>
            </w:pPr>
            <w:r w:rsidRPr="00205ADF">
              <w:t>linear encoders</w:t>
            </w:r>
          </w:p>
          <w:p w:rsidR="00000000" w:rsidRPr="00205ADF" w:rsidP="00205ADF">
            <w:pPr>
              <w:pStyle w:val="ListBullet2"/>
            </w:pPr>
            <w:r w:rsidRPr="00205ADF">
              <w:t>tachometers</w:t>
            </w:r>
          </w:p>
          <w:p w:rsidR="00000000" w:rsidRPr="00205ADF" w:rsidP="00205ADF">
            <w:pPr>
              <w:pStyle w:val="ListBullet2"/>
            </w:pPr>
            <w:r w:rsidRPr="00205ADF">
              <w:t>accelerometer and vibrometer</w:t>
            </w:r>
          </w:p>
          <w:p w:rsidR="00000000" w:rsidRPr="00205ADF" w:rsidP="00205ADF">
            <w:pPr>
              <w:pStyle w:val="ListBullet"/>
            </w:pPr>
            <w:r w:rsidRPr="00205ADF">
              <w:t>proximity and level detection, including:</w:t>
            </w:r>
          </w:p>
          <w:p w:rsidR="00000000" w:rsidRPr="00205ADF" w:rsidP="00205ADF">
            <w:pPr>
              <w:pStyle w:val="ListBullet2"/>
            </w:pPr>
            <w:r w:rsidRPr="00205ADF">
              <w:t>mechanical</w:t>
            </w:r>
          </w:p>
          <w:p w:rsidR="00000000" w:rsidRPr="00205ADF" w:rsidP="00205ADF">
            <w:pPr>
              <w:pStyle w:val="ListBullet2"/>
            </w:pPr>
            <w:r w:rsidRPr="00205ADF">
              <w:t>ultrasonics</w:t>
            </w:r>
          </w:p>
          <w:p w:rsidR="00000000" w:rsidRPr="00205ADF" w:rsidP="00205ADF">
            <w:pPr>
              <w:pStyle w:val="ListBullet2"/>
            </w:pPr>
            <w:r w:rsidRPr="00205ADF">
              <w:t>microwave</w:t>
            </w:r>
          </w:p>
          <w:p w:rsidR="00000000" w:rsidRPr="00205ADF" w:rsidP="00205ADF">
            <w:pPr>
              <w:pStyle w:val="ListBullet2"/>
            </w:pPr>
            <w:r w:rsidRPr="00205ADF">
              <w:t>passive infrared</w:t>
            </w:r>
          </w:p>
          <w:p w:rsidR="00000000" w:rsidRPr="00205ADF" w:rsidP="00205ADF">
            <w:pPr>
              <w:pStyle w:val="ListBullet2"/>
            </w:pPr>
            <w:r w:rsidRPr="00205ADF">
              <w:t>nucleonics</w:t>
            </w:r>
          </w:p>
          <w:p w:rsidR="00000000" w:rsidRPr="00205ADF" w:rsidP="00205ADF">
            <w:pPr>
              <w:pStyle w:val="ListBullet2"/>
            </w:pPr>
            <w:r w:rsidRPr="00205ADF">
              <w:t>capacitive and inductive proximity</w:t>
            </w:r>
          </w:p>
          <w:p w:rsidR="00000000" w:rsidRPr="00205ADF" w:rsidP="00205ADF">
            <w:pPr>
              <w:pStyle w:val="ListBullet"/>
            </w:pPr>
            <w:r w:rsidRPr="00205ADF">
              <w:t>industrial field control devices set-up, operation, positioning and adjustment</w:t>
            </w:r>
          </w:p>
          <w:p w:rsidR="00000000" w:rsidRPr="00205ADF" w:rsidP="00205ADF">
            <w:pPr>
              <w:pStyle w:val="ListBullet"/>
            </w:pPr>
            <w:r w:rsidRPr="00205ADF">
              <w:t xml:space="preserve">relevant job safety assessments, including risk control measures </w:t>
            </w:r>
          </w:p>
          <w:p w:rsidR="00000000" w:rsidRPr="00205ADF" w:rsidP="00205ADF">
            <w:pPr>
              <w:pStyle w:val="ListBullet"/>
            </w:pPr>
            <w:r w:rsidRPr="00205ADF">
              <w:t>relevant manufacturer specifications</w:t>
            </w:r>
          </w:p>
          <w:p w:rsidR="00000000" w:rsidRPr="00205ADF" w:rsidP="00205ADF">
            <w:pPr>
              <w:pStyle w:val="ListBullet"/>
            </w:pPr>
            <w:r w:rsidRPr="00205ADF">
              <w:t>relevant WHS/OHS legislated requirements</w:t>
            </w:r>
          </w:p>
          <w:p w:rsidR="00000000" w:rsidRPr="00205ADF" w:rsidP="00205ADF">
            <w:pPr>
              <w:pStyle w:val="ListBullet"/>
            </w:pPr>
            <w:r w:rsidRPr="00205ADF">
              <w:t>relevant workplace documentation</w:t>
            </w:r>
          </w:p>
          <w:p w:rsidR="00000000" w:rsidRPr="00205ADF" w:rsidP="00205ADF">
            <w:pPr>
              <w:pStyle w:val="ListBullet"/>
            </w:pPr>
            <w:r w:rsidRPr="00205ADF">
              <w:t>relevant workplace policies and procedures</w:t>
            </w:r>
          </w:p>
          <w:p w:rsidR="00000000" w:rsidRPr="00205ADF" w:rsidP="00205ADF">
            <w:pPr>
              <w:pStyle w:val="ListBullet"/>
            </w:pPr>
            <w:r w:rsidRPr="00205ADF">
              <w:t xml:space="preserve">sustainable energy principles and practices. </w:t>
            </w:r>
          </w:p>
        </w:tc>
      </w:tr>
    </w:tbl>
    <w:p w:rsidR="00000000" w:rsidRPr="00205ADF" w:rsidP="00205ADF">
      <w:pPr>
        <w:pStyle w:val="NoPaddingFontSize1"/>
      </w:pPr>
    </w:p>
    <w:p w:rsidR="00000000" w:rsidRPr="00205ADF" w:rsidP="00205ADF">
      <w:pPr>
        <w:pStyle w:val="AllowPageBreak"/>
      </w:pPr>
    </w:p>
    <w:p w:rsidR="00000000" w:rsidRPr="00205ADF" w:rsidP="00205ADF">
      <w:pPr>
        <w:pStyle w:val="Heading1"/>
      </w:pPr>
      <w:bookmarkStart w:id="4" w:name="O_1082795"/>
      <w:bookmarkEnd w:id="4"/>
      <w:r w:rsidRPr="00205ADF">
        <w:t>Assessment Conditions</w:t>
      </w:r>
    </w:p>
    <w:tbl>
      <w:tblPr>
        <w:tblW w:w="9497" w:type="dxa"/>
        <w:tblLayout w:type="fixed"/>
        <w:tblCellMar>
          <w:left w:w="62" w:type="dxa"/>
          <w:right w:w="62" w:type="dxa"/>
        </w:tblCellMar>
        <w:tblLook w:val="0000"/>
      </w:tblPr>
      <w:tblGrid>
        <w:gridCol w:w="9497"/>
      </w:tblGrid>
      <w:tr w:rsidTr="00205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ADF" w:rsidP="00205ADF">
            <w:pPr>
              <w:pStyle w:val="BodyText"/>
            </w:pPr>
            <w:r w:rsidRPr="00205ADF">
              <w:t>As a minimum, assessors must satisfy applicable regulatory requirements, which include requirements in the Standards for Reg</w:t>
            </w:r>
            <w:r w:rsidRPr="00205ADF">
              <w:t xml:space="preserve">istered Training Organisations current at the time of assessment. </w:t>
            </w:r>
          </w:p>
          <w:p w:rsidR="00000000" w:rsidRPr="00205ADF" w:rsidP="00205ADF">
            <w:pPr>
              <w:pStyle w:val="BodyText"/>
            </w:pPr>
            <w:r w:rsidRPr="00205ADF">
              <w:t>Assessors must hold credentials specified within the Standards for Registered Training Organisations current at the time of assessment.</w:t>
            </w:r>
          </w:p>
          <w:p w:rsidR="00000000" w:rsidRPr="00205ADF" w:rsidP="00205ADF">
            <w:pPr>
              <w:pStyle w:val="BodyText"/>
            </w:pPr>
            <w:r w:rsidRPr="00205ADF">
              <w:t xml:space="preserve">Assessment must satisfy the Principles of Assessment </w:t>
            </w:r>
            <w:r w:rsidRPr="00205ADF">
              <w:t>and Rules of Evidence and all regulatory requirements included within the Standards for Registered Training Organisations current at the time of assessment.</w:t>
            </w:r>
          </w:p>
          <w:p w:rsidR="00000000" w:rsidRPr="00205ADF" w:rsidP="00205ADF">
            <w:pPr>
              <w:pStyle w:val="BodyText"/>
            </w:pPr>
            <w:r w:rsidRPr="00205ADF">
              <w:t>Assessment processes and techniques must be appropriate to the language, literacy and numeracy requ</w:t>
            </w:r>
            <w:r w:rsidRPr="00205ADF">
              <w:t>irements of the work being performed and the needs of the candidate.</w:t>
            </w:r>
          </w:p>
          <w:p w:rsidR="00000000" w:rsidRPr="00205ADF" w:rsidP="00205ADF">
            <w:pPr>
              <w:pStyle w:val="BodyText"/>
            </w:pPr>
            <w:r w:rsidRPr="00205ADF">
              <w:t>Resources for assessment must include access to:</w:t>
            </w:r>
          </w:p>
          <w:p w:rsidR="00000000" w:rsidRPr="00205ADF" w:rsidP="00205ADF">
            <w:pPr>
              <w:pStyle w:val="ListBullet"/>
            </w:pPr>
            <w:r w:rsidRPr="00205ADF">
              <w:t>a range of relevant exercises, case studies and/or other simulations</w:t>
            </w:r>
          </w:p>
          <w:p w:rsidR="00000000" w:rsidRPr="00205ADF" w:rsidP="00205ADF">
            <w:pPr>
              <w:pStyle w:val="ListBullet"/>
            </w:pPr>
            <w:r w:rsidRPr="00205ADF">
              <w:t>relevant and appropriate materials, tools, equipment and personal pr</w:t>
            </w:r>
            <w:r w:rsidRPr="00205ADF">
              <w:t xml:space="preserve">otective equipment (PPE) currently used in industry </w:t>
            </w:r>
          </w:p>
          <w:p w:rsidR="00000000" w:rsidRPr="00205ADF" w:rsidP="00205ADF">
            <w:pPr>
              <w:pStyle w:val="ListBullet"/>
            </w:pPr>
            <w:r w:rsidRPr="00205ADF">
              <w:t>applicable documentation, including workplace procedures, equipment specifications, regulations, codes of practice and operation manuals.</w:t>
            </w:r>
          </w:p>
        </w:tc>
      </w:tr>
    </w:tbl>
    <w:p w:rsidR="00000000" w:rsidRPr="00205ADF" w:rsidP="00205ADF">
      <w:pPr>
        <w:pStyle w:val="NoPaddingFontSize1"/>
      </w:pPr>
    </w:p>
    <w:p w:rsidR="00000000" w:rsidRPr="00205ADF" w:rsidP="00205ADF">
      <w:pPr>
        <w:pStyle w:val="AllowPageBreak"/>
      </w:pPr>
    </w:p>
    <w:p w:rsidR="00000000" w:rsidRPr="00205ADF" w:rsidP="00205ADF">
      <w:pPr>
        <w:pStyle w:val="Heading1"/>
      </w:pPr>
      <w:bookmarkStart w:id="5" w:name="O_1082798"/>
      <w:bookmarkEnd w:id="5"/>
      <w:r w:rsidRPr="00205ADF">
        <w:t>Links</w:t>
      </w:r>
    </w:p>
    <w:p w:rsidR="00000000" w:rsidRPr="00205ADF" w:rsidP="00C80709">
      <w:pPr>
        <w:pStyle w:val="BodyText"/>
      </w:pPr>
      <w:r w:rsidRPr="00205AD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745F2">
        <w:rPr>
          <w:rStyle w:val="Hyperlink"/>
        </w:rPr>
        <w:t>https://vetnet.gov.au/Pages/TrainingDocs.aspx?q=b8a8f136-5421-4ce1-92e0-2b50341431b6</w:t>
      </w:r>
      <w:r>
        <w:fldChar w:fldCharType="end"/>
      </w:r>
    </w:p>
    <w:p w:rsidR="00000000" w:rsidRPr="00205ADF" w:rsidP="00205ADF"/>
    <w:sectPr w:rsidSect="00205A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DF" w:rsidRPr="00C80709" w:rsidP="00C80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09" w:rsidP="00205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709" w:rsidP="00205A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80709" w:rsidP="00205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ADF" w:rsidRPr="00C80709" w:rsidP="00C807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09" w:rsidRPr="002D2AF8" w:rsidP="00205ADF">
    <w:pPr>
      <w:pStyle w:val="Header"/>
      <w:framePr w:wrap="around"/>
    </w:pPr>
    <w:r>
      <w:fldChar w:fldCharType="begin"/>
    </w:r>
    <w:r>
      <w:instrText xml:space="preserve"> TITLE   \* MERGEFORMAT </w:instrText>
    </w:r>
    <w:r>
      <w:fldChar w:fldCharType="separate"/>
    </w:r>
    <w:r>
      <w:t>Assessment Requirements for UEEIC0034 Set up industrial field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80709" w:rsidP="00205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0C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69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2E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ADF"/>
    <w:pPr>
      <w:spacing w:before="360" w:after="60"/>
      <w:outlineLvl w:val="0"/>
    </w:pPr>
    <w:rPr>
      <w:sz w:val="32"/>
    </w:rPr>
  </w:style>
  <w:style w:type="paragraph" w:styleId="Heading2">
    <w:name w:val="heading 2"/>
    <w:basedOn w:val="HeadingBase"/>
    <w:next w:val="BodyText"/>
    <w:link w:val="Heading2Char"/>
    <w:qFormat/>
    <w:rsid w:val="00205ADF"/>
    <w:pPr>
      <w:keepLines/>
      <w:spacing w:before="240" w:after="120"/>
      <w:outlineLvl w:val="1"/>
    </w:pPr>
    <w:rPr>
      <w:sz w:val="28"/>
      <w:szCs w:val="40"/>
    </w:rPr>
  </w:style>
  <w:style w:type="paragraph" w:styleId="Heading3">
    <w:name w:val="heading 3"/>
    <w:basedOn w:val="HeadingBase"/>
    <w:next w:val="BodyText"/>
    <w:link w:val="Heading3Char"/>
    <w:qFormat/>
    <w:rsid w:val="00205ADF"/>
    <w:pPr>
      <w:spacing w:before="180" w:after="120"/>
      <w:outlineLvl w:val="2"/>
    </w:pPr>
    <w:rPr>
      <w:spacing w:val="-10"/>
      <w:kern w:val="32"/>
    </w:rPr>
  </w:style>
  <w:style w:type="paragraph" w:styleId="Heading4">
    <w:name w:val="heading 4"/>
    <w:basedOn w:val="HeadingBase"/>
    <w:next w:val="BodyText"/>
    <w:link w:val="Heading4Char"/>
    <w:qFormat/>
    <w:rsid w:val="00205ADF"/>
    <w:pPr>
      <w:spacing w:before="160" w:after="120"/>
      <w:outlineLvl w:val="3"/>
    </w:pPr>
    <w:rPr>
      <w:sz w:val="22"/>
    </w:rPr>
  </w:style>
  <w:style w:type="paragraph" w:styleId="Heading5">
    <w:name w:val="heading 5"/>
    <w:basedOn w:val="HeadingBase"/>
    <w:next w:val="Normal"/>
    <w:link w:val="Heading5Char"/>
    <w:qFormat/>
    <w:rsid w:val="00205ADF"/>
    <w:pPr>
      <w:spacing w:before="80"/>
      <w:outlineLvl w:val="4"/>
    </w:pPr>
    <w:rPr>
      <w:color w:val="918585"/>
      <w:sz w:val="20"/>
    </w:rPr>
  </w:style>
  <w:style w:type="paragraph" w:styleId="Heading6">
    <w:name w:val="heading 6"/>
    <w:basedOn w:val="HeadingBase"/>
    <w:next w:val="Normal"/>
    <w:link w:val="Heading6Char"/>
    <w:qFormat/>
    <w:rsid w:val="00205ADF"/>
    <w:pPr>
      <w:spacing w:before="60"/>
      <w:outlineLvl w:val="5"/>
    </w:pPr>
    <w:rPr>
      <w:color w:val="918585"/>
      <w:sz w:val="20"/>
    </w:rPr>
  </w:style>
  <w:style w:type="paragraph" w:styleId="Heading7">
    <w:name w:val="heading 7"/>
    <w:basedOn w:val="Normal"/>
    <w:next w:val="Normal"/>
    <w:link w:val="Heading7Char"/>
    <w:qFormat/>
    <w:rsid w:val="00205ADF"/>
    <w:pPr>
      <w:ind w:left="720"/>
      <w:outlineLvl w:val="6"/>
    </w:pPr>
    <w:rPr>
      <w:i/>
    </w:rPr>
  </w:style>
  <w:style w:type="paragraph" w:styleId="Heading8">
    <w:name w:val="heading 8"/>
    <w:basedOn w:val="Normal"/>
    <w:next w:val="Normal"/>
    <w:link w:val="Heading8Char"/>
    <w:qFormat/>
    <w:rsid w:val="00205ADF"/>
    <w:pPr>
      <w:ind w:left="720"/>
      <w:outlineLvl w:val="7"/>
    </w:pPr>
    <w:rPr>
      <w:i/>
    </w:rPr>
  </w:style>
  <w:style w:type="paragraph" w:styleId="Heading9">
    <w:name w:val="heading 9"/>
    <w:basedOn w:val="Normal"/>
    <w:next w:val="Normal"/>
    <w:link w:val="Heading9Char"/>
    <w:qFormat/>
    <w:rsid w:val="00205ADF"/>
    <w:pPr>
      <w:ind w:left="720"/>
      <w:outlineLvl w:val="8"/>
    </w:pPr>
    <w:rPr>
      <w:i/>
    </w:rPr>
  </w:style>
  <w:style w:type="character" w:default="1" w:styleId="DefaultParagraphFont">
    <w:name w:val="Default Paragraph Font"/>
    <w:uiPriority w:val="1"/>
    <w:unhideWhenUsed/>
    <w:rsid w:val="00205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ADF"/>
  </w:style>
  <w:style w:type="character" w:customStyle="1" w:styleId="Heading1Char">
    <w:name w:val="Heading 1 Char"/>
    <w:basedOn w:val="DefaultParagraphFont"/>
    <w:link w:val="Heading1"/>
    <w:rsid w:val="00205ADF"/>
    <w:rPr>
      <w:rFonts w:ascii="Times New Roman" w:eastAsia="Times New Roman" w:hAnsi="Times New Roman" w:cs="Times New Roman"/>
      <w:b/>
      <w:sz w:val="32"/>
      <w:szCs w:val="20"/>
      <w:lang w:eastAsia="en-US"/>
    </w:rPr>
  </w:style>
  <w:style w:type="paragraph" w:styleId="BodyText">
    <w:name w:val="Body Text"/>
    <w:basedOn w:val="Normal"/>
    <w:link w:val="BodyTextChar"/>
    <w:rsid w:val="00205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ADF"/>
    <w:rPr>
      <w:rFonts w:ascii="Times New Roman" w:eastAsia="Times New Roman" w:hAnsi="Times New Roman" w:cs="Times New Roman"/>
      <w:sz w:val="24"/>
      <w:lang w:eastAsia="en-US"/>
    </w:rPr>
  </w:style>
  <w:style w:type="paragraph" w:styleId="ListBullet">
    <w:name w:val="List Bullet"/>
    <w:basedOn w:val="List"/>
    <w:rsid w:val="00205ADF"/>
    <w:pPr>
      <w:numPr>
        <w:numId w:val="12"/>
      </w:numPr>
      <w:tabs>
        <w:tab w:val="clear" w:pos="340"/>
      </w:tabs>
      <w:spacing w:before="40" w:after="40"/>
    </w:pPr>
  </w:style>
  <w:style w:type="paragraph" w:styleId="ListBullet2">
    <w:name w:val="List Bullet 2"/>
    <w:basedOn w:val="List2"/>
    <w:rsid w:val="00205ADF"/>
    <w:pPr>
      <w:numPr>
        <w:numId w:val="13"/>
      </w:numPr>
      <w:tabs>
        <w:tab w:val="clear" w:pos="680"/>
      </w:tabs>
    </w:pPr>
  </w:style>
  <w:style w:type="paragraph" w:customStyle="1" w:styleId="SuperHeading">
    <w:name w:val="SuperHeading"/>
    <w:basedOn w:val="Normal"/>
    <w:rsid w:val="00205ADF"/>
    <w:pPr>
      <w:spacing w:before="240" w:after="120"/>
      <w:outlineLvl w:val="0"/>
    </w:pPr>
    <w:rPr>
      <w:rFonts w:ascii="Times New Roman" w:hAnsi="Times New Roman"/>
      <w:b/>
      <w:sz w:val="32"/>
    </w:rPr>
  </w:style>
  <w:style w:type="paragraph" w:customStyle="1" w:styleId="AllowPageBreak">
    <w:name w:val="AllowPageBreak"/>
    <w:rsid w:val="00205A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5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ADF"/>
    <w:rPr>
      <w:rFonts w:ascii="Courier New" w:eastAsia="Times New Roman" w:hAnsi="Courier New" w:cs="Times New Roman"/>
      <w:i/>
      <w:szCs w:val="20"/>
      <w:lang w:eastAsia="en-US"/>
    </w:rPr>
  </w:style>
  <w:style w:type="paragraph" w:customStyle="1" w:styleId="HeadingBase">
    <w:name w:val="Heading Base"/>
    <w:rsid w:val="00205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ADF"/>
    <w:pPr>
      <w:tabs>
        <w:tab w:val="right" w:leader="dot" w:pos="9072"/>
      </w:tabs>
      <w:ind w:left="567"/>
    </w:pPr>
    <w:rPr>
      <w:szCs w:val="22"/>
    </w:rPr>
  </w:style>
  <w:style w:type="paragraph" w:customStyle="1" w:styleId="TOCBase">
    <w:name w:val="TOC Base"/>
    <w:rsid w:val="00205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ADF"/>
    <w:pPr>
      <w:tabs>
        <w:tab w:val="right" w:leader="dot" w:pos="9072"/>
      </w:tabs>
      <w:spacing w:before="40" w:after="40"/>
      <w:ind w:left="284"/>
    </w:pPr>
    <w:rPr>
      <w:rFonts w:ascii="Times New Roman" w:hAnsi="Times New Roman"/>
    </w:rPr>
  </w:style>
  <w:style w:type="paragraph" w:styleId="TOC1">
    <w:name w:val="toc 1"/>
    <w:basedOn w:val="TOCBase"/>
    <w:next w:val="Normal"/>
    <w:rsid w:val="00205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ADF"/>
    <w:rPr>
      <w:rFonts w:ascii="Times New Roman" w:eastAsia="Times New Roman" w:hAnsi="Times New Roman" w:cs="Times New Roman"/>
      <w:sz w:val="16"/>
      <w:lang w:eastAsia="en-US"/>
    </w:rPr>
  </w:style>
  <w:style w:type="paragraph" w:styleId="Title">
    <w:name w:val="Title"/>
    <w:basedOn w:val="HeadingBase"/>
    <w:link w:val="TitleChar"/>
    <w:qFormat/>
    <w:rsid w:val="00205ADF"/>
    <w:pPr>
      <w:spacing w:before="5040"/>
      <w:jc w:val="center"/>
    </w:pPr>
    <w:rPr>
      <w:sz w:val="48"/>
      <w:szCs w:val="72"/>
      <w:lang w:val="en-US"/>
    </w:rPr>
  </w:style>
  <w:style w:type="character" w:customStyle="1" w:styleId="TitleChar">
    <w:name w:val="Title Char"/>
    <w:basedOn w:val="DefaultParagraphFont"/>
    <w:link w:val="Title"/>
    <w:rsid w:val="00205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ADF"/>
    <w:pPr>
      <w:tabs>
        <w:tab w:val="left" w:pos="3600"/>
        <w:tab w:val="left" w:pos="3958"/>
      </w:tabs>
    </w:pPr>
  </w:style>
  <w:style w:type="paragraph" w:styleId="List">
    <w:name w:val="List"/>
    <w:basedOn w:val="BodyText"/>
    <w:next w:val="BodyText"/>
    <w:rsid w:val="00205ADF"/>
    <w:pPr>
      <w:tabs>
        <w:tab w:val="left" w:pos="340"/>
      </w:tabs>
      <w:spacing w:before="60" w:after="60"/>
      <w:ind w:left="340" w:hanging="340"/>
    </w:pPr>
  </w:style>
  <w:style w:type="paragraph" w:customStyle="1" w:styleId="Note">
    <w:name w:val="Note"/>
    <w:basedOn w:val="BodyText"/>
    <w:rsid w:val="00205A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5ADF"/>
    <w:rPr>
      <w:b/>
      <w:spacing w:val="0"/>
    </w:rPr>
  </w:style>
  <w:style w:type="paragraph" w:customStyle="1" w:styleId="SuperTitle">
    <w:name w:val="SuperTitle"/>
    <w:basedOn w:val="Title"/>
    <w:rsid w:val="00205ADF"/>
    <w:pPr>
      <w:framePr w:wrap="auto" w:hAnchor="text" w:y="6049"/>
    </w:pPr>
    <w:rPr>
      <w:color w:val="000000"/>
      <w:sz w:val="40"/>
    </w:rPr>
  </w:style>
  <w:style w:type="paragraph" w:customStyle="1" w:styleId="TOCTitle">
    <w:name w:val="TOCTitle"/>
    <w:basedOn w:val="Heading1"/>
    <w:rsid w:val="00205ADF"/>
    <w:pPr>
      <w:spacing w:after="240"/>
      <w:jc w:val="center"/>
      <w:outlineLvl w:val="9"/>
    </w:pPr>
    <w:rPr>
      <w:caps/>
    </w:rPr>
  </w:style>
  <w:style w:type="paragraph" w:customStyle="1" w:styleId="Version">
    <w:name w:val="Version"/>
    <w:rsid w:val="00205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ADF"/>
    <w:pPr>
      <w:keepNext w:val="0"/>
      <w:tabs>
        <w:tab w:val="right" w:pos="4176"/>
      </w:tabs>
      <w:ind w:left="198" w:hanging="198"/>
    </w:pPr>
    <w:rPr>
      <w:rFonts w:ascii="Garamond" w:hAnsi="Garamond"/>
    </w:rPr>
  </w:style>
  <w:style w:type="paragraph" w:styleId="IndexHeading">
    <w:name w:val="index heading"/>
    <w:basedOn w:val="Normal"/>
    <w:next w:val="Index1"/>
    <w:semiHidden/>
    <w:rsid w:val="00205ADF"/>
    <w:pPr>
      <w:spacing w:before="120" w:after="120"/>
    </w:pPr>
    <w:rPr>
      <w:rFonts w:ascii="Arial" w:hAnsi="Arial"/>
      <w:b/>
      <w:color w:val="918585"/>
      <w:sz w:val="24"/>
    </w:rPr>
  </w:style>
  <w:style w:type="paragraph" w:styleId="Header">
    <w:name w:val="header"/>
    <w:basedOn w:val="Normal"/>
    <w:link w:val="HeaderChar"/>
    <w:rsid w:val="00205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ADF"/>
    <w:rPr>
      <w:rFonts w:ascii="Times New Roman" w:eastAsia="Times New Roman" w:hAnsi="Times New Roman" w:cs="Times New Roman"/>
      <w:sz w:val="16"/>
      <w:szCs w:val="20"/>
      <w:lang w:val="en-GB" w:eastAsia="en-US"/>
    </w:rPr>
  </w:style>
  <w:style w:type="paragraph" w:customStyle="1" w:styleId="Chapter">
    <w:name w:val="Chapter"/>
    <w:basedOn w:val="Normal"/>
    <w:rsid w:val="00205ADF"/>
    <w:pPr>
      <w:spacing w:before="240"/>
    </w:pPr>
    <w:rPr>
      <w:rFonts w:ascii="Times New Roman" w:hAnsi="Times New Roman"/>
      <w:smallCaps/>
      <w:spacing w:val="80"/>
      <w:sz w:val="28"/>
    </w:rPr>
  </w:style>
  <w:style w:type="paragraph" w:customStyle="1" w:styleId="InChapter">
    <w:name w:val="InChapter"/>
    <w:basedOn w:val="Heading3"/>
    <w:rsid w:val="00205ADF"/>
    <w:pPr>
      <w:spacing w:after="240"/>
      <w:outlineLvl w:val="9"/>
    </w:pPr>
    <w:rPr>
      <w:noProof/>
    </w:rPr>
  </w:style>
  <w:style w:type="paragraph" w:styleId="Index2">
    <w:name w:val="index 2"/>
    <w:basedOn w:val="Normal"/>
    <w:next w:val="Normal"/>
    <w:semiHidden/>
    <w:rsid w:val="00205ADF"/>
    <w:pPr>
      <w:tabs>
        <w:tab w:val="right" w:pos="4176"/>
      </w:tabs>
      <w:ind w:left="568" w:hanging="284"/>
    </w:pPr>
    <w:rPr>
      <w:rFonts w:ascii="Garamond" w:hAnsi="Garamond"/>
    </w:rPr>
  </w:style>
  <w:style w:type="paragraph" w:customStyle="1" w:styleId="Byline">
    <w:name w:val="Byline"/>
    <w:rsid w:val="00205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ADF"/>
    <w:pPr>
      <w:tabs>
        <w:tab w:val="clear" w:pos="3600"/>
        <w:tab w:val="clear" w:pos="3958"/>
      </w:tabs>
      <w:jc w:val="right"/>
    </w:pPr>
  </w:style>
  <w:style w:type="character" w:styleId="Emphasis">
    <w:name w:val="Emphasis"/>
    <w:basedOn w:val="DefaultParagraphFont"/>
    <w:qFormat/>
    <w:rsid w:val="00205ADF"/>
    <w:rPr>
      <w:i/>
    </w:rPr>
  </w:style>
  <w:style w:type="paragraph" w:styleId="Caption">
    <w:name w:val="caption"/>
    <w:basedOn w:val="BodyText"/>
    <w:next w:val="Normal"/>
    <w:qFormat/>
    <w:rsid w:val="00205ADF"/>
    <w:pPr>
      <w:framePr w:w="2268" w:hSpace="181" w:vSpace="181" w:wrap="around" w:vAnchor="text" w:hAnchor="page" w:x="1135" w:y="285" w:anchorLock="1"/>
    </w:pPr>
    <w:rPr>
      <w:i/>
    </w:rPr>
  </w:style>
  <w:style w:type="paragraph" w:customStyle="1" w:styleId="MiniTOCTitle">
    <w:name w:val="MiniTOCTitle"/>
    <w:basedOn w:val="Heading4"/>
    <w:rsid w:val="00205ADF"/>
    <w:pPr>
      <w:spacing w:before="240"/>
      <w:outlineLvl w:val="9"/>
    </w:pPr>
    <w:rPr>
      <w:noProof/>
      <w:sz w:val="24"/>
    </w:rPr>
  </w:style>
  <w:style w:type="paragraph" w:customStyle="1" w:styleId="MiniTOCItem">
    <w:name w:val="MiniTOCItem"/>
    <w:basedOn w:val="ListBullet"/>
    <w:rsid w:val="00205ADF"/>
    <w:pPr>
      <w:numPr>
        <w:numId w:val="0"/>
      </w:numPr>
      <w:tabs>
        <w:tab w:val="right" w:leader="dot" w:pos="6521"/>
      </w:tabs>
      <w:spacing w:before="0" w:after="0"/>
    </w:pPr>
  </w:style>
  <w:style w:type="paragraph" w:customStyle="1" w:styleId="TOFTitle">
    <w:name w:val="TOFTitle"/>
    <w:basedOn w:val="TOCTitle"/>
    <w:rsid w:val="00205ADF"/>
  </w:style>
  <w:style w:type="paragraph" w:styleId="TableofFigures">
    <w:name w:val="table of figures"/>
    <w:basedOn w:val="Normal"/>
    <w:next w:val="Normal"/>
    <w:semiHidden/>
    <w:rsid w:val="00205ADF"/>
    <w:pPr>
      <w:tabs>
        <w:tab w:val="right" w:leader="dot" w:pos="9072"/>
      </w:tabs>
      <w:ind w:left="970" w:hanging="403"/>
    </w:pPr>
    <w:rPr>
      <w:rFonts w:ascii="Times New Roman" w:hAnsi="Times New Roman"/>
      <w:b/>
    </w:rPr>
  </w:style>
  <w:style w:type="paragraph" w:styleId="ListNumber">
    <w:name w:val="List Number"/>
    <w:basedOn w:val="List"/>
    <w:rsid w:val="00205ADF"/>
    <w:pPr>
      <w:numPr>
        <w:numId w:val="15"/>
      </w:numPr>
      <w:tabs>
        <w:tab w:val="clear" w:pos="340"/>
      </w:tabs>
    </w:pPr>
  </w:style>
  <w:style w:type="character" w:customStyle="1" w:styleId="WingdingSymbols">
    <w:name w:val="Wingding Symbols"/>
    <w:rsid w:val="00205ADF"/>
    <w:rPr>
      <w:rFonts w:ascii="Wingdings" w:hAnsi="Wingdings"/>
    </w:rPr>
  </w:style>
  <w:style w:type="paragraph" w:customStyle="1" w:styleId="TableHeading">
    <w:name w:val="Table Heading"/>
    <w:basedOn w:val="HeadingBase"/>
    <w:rsid w:val="00205ADF"/>
    <w:pPr>
      <w:keepLines/>
      <w:pBdr>
        <w:bottom w:val="single" w:sz="6" w:space="1" w:color="918585"/>
      </w:pBdr>
      <w:spacing w:before="240"/>
    </w:pPr>
  </w:style>
  <w:style w:type="character" w:customStyle="1" w:styleId="HotSpot">
    <w:name w:val="HotSpot"/>
    <w:rsid w:val="00205ADF"/>
    <w:rPr>
      <w:color w:val="0033CC"/>
      <w:u w:val="none"/>
    </w:rPr>
  </w:style>
  <w:style w:type="paragraph" w:customStyle="1" w:styleId="BodyTextRight">
    <w:name w:val="Body Text Right"/>
    <w:basedOn w:val="BodyText"/>
    <w:rsid w:val="00205ADF"/>
    <w:pPr>
      <w:spacing w:before="0" w:after="0"/>
      <w:jc w:val="right"/>
    </w:pPr>
  </w:style>
  <w:style w:type="paragraph" w:styleId="Index3">
    <w:name w:val="index 3"/>
    <w:basedOn w:val="ListNumber2"/>
    <w:next w:val="Normal"/>
    <w:semiHidden/>
    <w:rsid w:val="00205ADF"/>
    <w:pPr>
      <w:numPr>
        <w:numId w:val="0"/>
      </w:numPr>
      <w:tabs>
        <w:tab w:val="right" w:leader="dot" w:pos="4176"/>
      </w:tabs>
    </w:pPr>
  </w:style>
  <w:style w:type="paragraph" w:styleId="ListNumber2">
    <w:name w:val="List Number 2"/>
    <w:basedOn w:val="List2"/>
    <w:rsid w:val="00205ADF"/>
    <w:pPr>
      <w:numPr>
        <w:numId w:val="10"/>
      </w:numPr>
      <w:tabs>
        <w:tab w:val="clear" w:pos="1060"/>
      </w:tabs>
    </w:pPr>
  </w:style>
  <w:style w:type="paragraph" w:customStyle="1" w:styleId="MarginNote">
    <w:name w:val="Margin Note"/>
    <w:basedOn w:val="BodyText"/>
    <w:rsid w:val="00205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ADF"/>
    <w:rPr>
      <w:sz w:val="32"/>
    </w:rPr>
  </w:style>
  <w:style w:type="paragraph" w:customStyle="1" w:styleId="HeadingProcedure">
    <w:name w:val="Heading Procedure"/>
    <w:basedOn w:val="HeadingBase"/>
    <w:next w:val="Normal"/>
    <w:rsid w:val="00205ADF"/>
    <w:pPr>
      <w:tabs>
        <w:tab w:val="left" w:pos="0"/>
      </w:tabs>
      <w:spacing w:before="120" w:after="60"/>
    </w:pPr>
    <w:rPr>
      <w:i/>
      <w:color w:val="918585"/>
      <w:sz w:val="22"/>
    </w:rPr>
  </w:style>
  <w:style w:type="paragraph" w:customStyle="1" w:styleId="TableBodyText">
    <w:name w:val="Table Body Text"/>
    <w:basedOn w:val="BodyText"/>
    <w:rsid w:val="00205ADF"/>
    <w:pPr>
      <w:spacing w:before="60" w:after="60"/>
    </w:pPr>
  </w:style>
  <w:style w:type="paragraph" w:styleId="ListContinue">
    <w:name w:val="List Continue"/>
    <w:basedOn w:val="List"/>
    <w:rsid w:val="00205ADF"/>
    <w:pPr>
      <w:ind w:firstLine="0"/>
    </w:pPr>
  </w:style>
  <w:style w:type="paragraph" w:customStyle="1" w:styleId="ListNote">
    <w:name w:val="List Note"/>
    <w:basedOn w:val="List"/>
    <w:rsid w:val="00205ADF"/>
    <w:pPr>
      <w:pBdr>
        <w:top w:val="single" w:sz="6" w:space="2" w:color="918585"/>
        <w:bottom w:val="single" w:sz="6" w:space="2" w:color="918585"/>
      </w:pBdr>
      <w:tabs>
        <w:tab w:val="left" w:pos="1021"/>
      </w:tabs>
      <w:ind w:firstLine="0"/>
    </w:pPr>
  </w:style>
  <w:style w:type="paragraph" w:customStyle="1" w:styleId="Warning">
    <w:name w:val="Warning"/>
    <w:basedOn w:val="BodyText"/>
    <w:rsid w:val="00205ADF"/>
    <w:pPr>
      <w:shd w:val="clear" w:color="auto" w:fill="D9D9D9"/>
      <w:tabs>
        <w:tab w:val="left" w:pos="992"/>
      </w:tabs>
      <w:ind w:left="119" w:right="119"/>
    </w:pPr>
    <w:rPr>
      <w:sz w:val="20"/>
    </w:rPr>
  </w:style>
  <w:style w:type="paragraph" w:customStyle="1" w:styleId="MarginIcons">
    <w:name w:val="Margin Icons"/>
    <w:basedOn w:val="BodyText"/>
    <w:rsid w:val="00205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ADF"/>
    <w:rPr>
      <w:rFonts w:ascii="Courier New" w:hAnsi="Courier New"/>
    </w:rPr>
  </w:style>
  <w:style w:type="paragraph" w:customStyle="1" w:styleId="NoteBullet">
    <w:name w:val="Note Bullet"/>
    <w:basedOn w:val="Note"/>
    <w:rsid w:val="00205ADF"/>
    <w:pPr>
      <w:tabs>
        <w:tab w:val="clear" w:pos="680"/>
      </w:tabs>
      <w:spacing w:before="60" w:after="60"/>
    </w:pPr>
  </w:style>
  <w:style w:type="paragraph" w:customStyle="1" w:styleId="SubHeading2">
    <w:name w:val="SubHeading2"/>
    <w:basedOn w:val="HeadingBase"/>
    <w:rsid w:val="00205ADF"/>
    <w:pPr>
      <w:spacing w:before="240" w:after="60"/>
    </w:pPr>
    <w:rPr>
      <w:sz w:val="20"/>
    </w:rPr>
  </w:style>
  <w:style w:type="paragraph" w:customStyle="1" w:styleId="SubHeading1">
    <w:name w:val="SubHeading1"/>
    <w:basedOn w:val="HeadingBase"/>
    <w:rsid w:val="00205ADF"/>
    <w:pPr>
      <w:spacing w:before="240" w:after="60"/>
    </w:pPr>
    <w:rPr>
      <w:color w:val="918585"/>
      <w:sz w:val="22"/>
    </w:rPr>
  </w:style>
  <w:style w:type="paragraph" w:customStyle="1" w:styleId="SideHeading">
    <w:name w:val="Side Heading"/>
    <w:basedOn w:val="HeadingBase"/>
    <w:rsid w:val="00205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ADF"/>
    <w:pPr>
      <w:tabs>
        <w:tab w:val="num" w:pos="360"/>
      </w:tabs>
    </w:pPr>
  </w:style>
  <w:style w:type="paragraph" w:styleId="PlainText">
    <w:name w:val="Plain Text"/>
    <w:basedOn w:val="Normal"/>
    <w:link w:val="PlainTextChar"/>
    <w:rsid w:val="00205ADF"/>
    <w:rPr>
      <w:sz w:val="20"/>
    </w:rPr>
  </w:style>
  <w:style w:type="character" w:customStyle="1" w:styleId="PlainTextChar">
    <w:name w:val="Plain Text Char"/>
    <w:basedOn w:val="DefaultParagraphFont"/>
    <w:link w:val="PlainText"/>
    <w:rsid w:val="00205ADF"/>
    <w:rPr>
      <w:rFonts w:ascii="Courier New" w:eastAsia="Times New Roman" w:hAnsi="Courier New" w:cs="Times New Roman"/>
      <w:sz w:val="20"/>
      <w:szCs w:val="20"/>
      <w:lang w:eastAsia="en-US"/>
    </w:rPr>
  </w:style>
  <w:style w:type="character" w:customStyle="1" w:styleId="MenuOption">
    <w:name w:val="Menu Option"/>
    <w:basedOn w:val="DefaultParagraphFont"/>
    <w:rsid w:val="00205ADF"/>
    <w:rPr>
      <w:b/>
      <w:smallCaps/>
    </w:rPr>
  </w:style>
  <w:style w:type="paragraph" w:customStyle="1" w:styleId="TableListNumber">
    <w:name w:val="Table List Number"/>
    <w:basedOn w:val="ListNumber"/>
    <w:rsid w:val="00205ADF"/>
    <w:pPr>
      <w:numPr>
        <w:numId w:val="0"/>
      </w:numPr>
    </w:pPr>
  </w:style>
  <w:style w:type="paragraph" w:styleId="TOC4">
    <w:name w:val="toc 4"/>
    <w:basedOn w:val="TOCBase"/>
    <w:next w:val="Normal"/>
    <w:semiHidden/>
    <w:rsid w:val="00205ADF"/>
    <w:pPr>
      <w:tabs>
        <w:tab w:val="right" w:leader="dot" w:pos="9071"/>
      </w:tabs>
      <w:ind w:left="1701"/>
    </w:pPr>
  </w:style>
  <w:style w:type="paragraph" w:customStyle="1" w:styleId="ListAlpha">
    <w:name w:val="List Alpha"/>
    <w:basedOn w:val="List"/>
    <w:rsid w:val="00205ADF"/>
    <w:pPr>
      <w:numPr>
        <w:numId w:val="9"/>
      </w:numPr>
    </w:pPr>
  </w:style>
  <w:style w:type="paragraph" w:customStyle="1" w:styleId="ListAlpha2">
    <w:name w:val="List Alpha 2"/>
    <w:basedOn w:val="List2"/>
    <w:rsid w:val="00205ADF"/>
    <w:pPr>
      <w:numPr>
        <w:numId w:val="8"/>
      </w:numPr>
    </w:pPr>
  </w:style>
  <w:style w:type="paragraph" w:styleId="List2">
    <w:name w:val="List 2"/>
    <w:basedOn w:val="BodyText"/>
    <w:rsid w:val="00205ADF"/>
    <w:pPr>
      <w:tabs>
        <w:tab w:val="left" w:pos="680"/>
      </w:tabs>
      <w:spacing w:before="60" w:after="60"/>
      <w:ind w:left="680" w:hanging="340"/>
    </w:pPr>
  </w:style>
  <w:style w:type="paragraph" w:styleId="List3">
    <w:name w:val="List 3"/>
    <w:basedOn w:val="BodyText"/>
    <w:rsid w:val="00205ADF"/>
    <w:pPr>
      <w:tabs>
        <w:tab w:val="left" w:pos="1021"/>
      </w:tabs>
      <w:spacing w:before="60" w:after="60"/>
      <w:ind w:left="1020" w:hanging="340"/>
    </w:pPr>
  </w:style>
  <w:style w:type="paragraph" w:styleId="List4">
    <w:name w:val="List 4"/>
    <w:basedOn w:val="BodyText"/>
    <w:rsid w:val="00205ADF"/>
    <w:pPr>
      <w:tabs>
        <w:tab w:val="left" w:pos="1361"/>
      </w:tabs>
      <w:spacing w:before="60" w:after="60"/>
      <w:ind w:left="1361" w:hanging="340"/>
    </w:pPr>
  </w:style>
  <w:style w:type="paragraph" w:styleId="List5">
    <w:name w:val="List 5"/>
    <w:basedOn w:val="BodyText"/>
    <w:rsid w:val="00205ADF"/>
    <w:pPr>
      <w:tabs>
        <w:tab w:val="left" w:pos="1701"/>
      </w:tabs>
      <w:spacing w:before="60" w:after="60"/>
      <w:ind w:left="1701" w:hanging="340"/>
    </w:pPr>
  </w:style>
  <w:style w:type="paragraph" w:styleId="ListBullet3">
    <w:name w:val="List Bullet 3"/>
    <w:basedOn w:val="List3"/>
    <w:rsid w:val="00205ADF"/>
    <w:pPr>
      <w:numPr>
        <w:numId w:val="14"/>
      </w:numPr>
      <w:tabs>
        <w:tab w:val="clear" w:pos="1021"/>
      </w:tabs>
      <w:ind w:left="1037" w:hanging="357"/>
    </w:pPr>
  </w:style>
  <w:style w:type="paragraph" w:styleId="ListBullet4">
    <w:name w:val="List Bullet 4"/>
    <w:basedOn w:val="List4"/>
    <w:rsid w:val="00205ADF"/>
    <w:pPr>
      <w:numPr>
        <w:numId w:val="3"/>
      </w:numPr>
      <w:tabs>
        <w:tab w:val="clear" w:pos="1361"/>
      </w:tabs>
    </w:pPr>
  </w:style>
  <w:style w:type="paragraph" w:styleId="ListBullet5">
    <w:name w:val="List Bullet 5"/>
    <w:basedOn w:val="List5"/>
    <w:rsid w:val="00205ADF"/>
    <w:pPr>
      <w:numPr>
        <w:numId w:val="4"/>
      </w:numPr>
    </w:pPr>
  </w:style>
  <w:style w:type="paragraph" w:styleId="ListContinue2">
    <w:name w:val="List Continue 2"/>
    <w:basedOn w:val="List2"/>
    <w:rsid w:val="00205ADF"/>
    <w:pPr>
      <w:ind w:firstLine="0"/>
    </w:pPr>
  </w:style>
  <w:style w:type="paragraph" w:styleId="ListContinue3">
    <w:name w:val="List Continue 3"/>
    <w:basedOn w:val="List3"/>
    <w:rsid w:val="00205ADF"/>
    <w:pPr>
      <w:ind w:left="1021" w:firstLine="0"/>
    </w:pPr>
  </w:style>
  <w:style w:type="paragraph" w:styleId="ListContinue4">
    <w:name w:val="List Continue 4"/>
    <w:basedOn w:val="List4"/>
    <w:rsid w:val="00205ADF"/>
    <w:pPr>
      <w:ind w:firstLine="0"/>
    </w:pPr>
  </w:style>
  <w:style w:type="paragraph" w:styleId="ListContinue5">
    <w:name w:val="List Continue 5"/>
    <w:basedOn w:val="List5"/>
    <w:rsid w:val="00205ADF"/>
    <w:pPr>
      <w:ind w:firstLine="0"/>
    </w:pPr>
  </w:style>
  <w:style w:type="paragraph" w:styleId="ListNumber3">
    <w:name w:val="List Number 3"/>
    <w:basedOn w:val="List3"/>
    <w:rsid w:val="00205ADF"/>
    <w:pPr>
      <w:numPr>
        <w:numId w:val="5"/>
      </w:numPr>
    </w:pPr>
  </w:style>
  <w:style w:type="paragraph" w:styleId="ListNumber4">
    <w:name w:val="List Number 4"/>
    <w:basedOn w:val="List4"/>
    <w:rsid w:val="00205ADF"/>
    <w:pPr>
      <w:numPr>
        <w:numId w:val="6"/>
      </w:numPr>
    </w:pPr>
  </w:style>
  <w:style w:type="paragraph" w:styleId="ListNumber5">
    <w:name w:val="List Number 5"/>
    <w:basedOn w:val="List5"/>
    <w:rsid w:val="00205ADF"/>
    <w:pPr>
      <w:numPr>
        <w:numId w:val="7"/>
      </w:numPr>
    </w:pPr>
  </w:style>
  <w:style w:type="paragraph" w:styleId="BlockText">
    <w:name w:val="Block Text"/>
    <w:basedOn w:val="Normal"/>
    <w:rsid w:val="00205ADF"/>
    <w:pPr>
      <w:spacing w:after="120"/>
      <w:ind w:left="1440" w:right="1440"/>
    </w:pPr>
  </w:style>
  <w:style w:type="character" w:customStyle="1" w:styleId="Subscript">
    <w:name w:val="Subscript"/>
    <w:basedOn w:val="DefaultParagraphFont"/>
    <w:rsid w:val="00205ADF"/>
    <w:rPr>
      <w:sz w:val="16"/>
      <w:vertAlign w:val="subscript"/>
    </w:rPr>
  </w:style>
  <w:style w:type="character" w:customStyle="1" w:styleId="Superscript">
    <w:name w:val="Superscript"/>
    <w:basedOn w:val="DefaultParagraphFont"/>
    <w:rsid w:val="00205ADF"/>
    <w:rPr>
      <w:sz w:val="16"/>
      <w:vertAlign w:val="superscript"/>
    </w:rPr>
  </w:style>
  <w:style w:type="character" w:customStyle="1" w:styleId="Symbols">
    <w:name w:val="Symbols"/>
    <w:basedOn w:val="DefaultParagraphFont"/>
    <w:rsid w:val="00205ADF"/>
    <w:rPr>
      <w:rFonts w:ascii="Symbol" w:hAnsi="Symbol"/>
    </w:rPr>
  </w:style>
  <w:style w:type="character" w:customStyle="1" w:styleId="MenuOptions">
    <w:name w:val="Menu Options"/>
    <w:basedOn w:val="DefaultParagraphFont"/>
    <w:rsid w:val="00205ADF"/>
    <w:rPr>
      <w:rFonts w:ascii="Arial Narrow" w:hAnsi="Arial Narrow"/>
      <w:smallCaps/>
    </w:rPr>
  </w:style>
  <w:style w:type="character" w:customStyle="1" w:styleId="Buttons">
    <w:name w:val="Buttons"/>
    <w:basedOn w:val="DefaultParagraphFont"/>
    <w:rsid w:val="00205ADF"/>
    <w:rPr>
      <w:b/>
    </w:rPr>
  </w:style>
  <w:style w:type="character" w:customStyle="1" w:styleId="Underlined">
    <w:name w:val="Underlined"/>
    <w:basedOn w:val="DefaultParagraphFont"/>
    <w:rsid w:val="00205ADF"/>
    <w:rPr>
      <w:u w:val="single"/>
    </w:rPr>
  </w:style>
  <w:style w:type="paragraph" w:customStyle="1" w:styleId="TableBodyTextRight">
    <w:name w:val="Table Body Text Right"/>
    <w:basedOn w:val="TableBodyText"/>
    <w:rsid w:val="00205ADF"/>
    <w:pPr>
      <w:widowControl w:val="0"/>
      <w:autoSpaceDE w:val="0"/>
      <w:autoSpaceDN w:val="0"/>
      <w:adjustRightInd w:val="0"/>
      <w:jc w:val="right"/>
    </w:pPr>
    <w:rPr>
      <w:rFonts w:cs="Arial"/>
      <w:szCs w:val="18"/>
    </w:rPr>
  </w:style>
  <w:style w:type="paragraph" w:customStyle="1" w:styleId="CopyrightText">
    <w:name w:val="Copyright Text"/>
    <w:basedOn w:val="BodyText"/>
    <w:rsid w:val="00205ADF"/>
    <w:rPr>
      <w:sz w:val="18"/>
    </w:rPr>
  </w:style>
  <w:style w:type="paragraph" w:customStyle="1" w:styleId="BodySmallRight">
    <w:name w:val="Body Small Right"/>
    <w:basedOn w:val="BodyTextRight"/>
    <w:rsid w:val="00205ADF"/>
    <w:rPr>
      <w:sz w:val="18"/>
      <w:szCs w:val="18"/>
    </w:rPr>
  </w:style>
  <w:style w:type="paragraph" w:customStyle="1" w:styleId="MarginEdition">
    <w:name w:val="Margin Edition"/>
    <w:basedOn w:val="MarginNote"/>
    <w:rsid w:val="00205ADF"/>
    <w:pPr>
      <w:spacing w:before="0" w:after="0"/>
    </w:pPr>
    <w:rPr>
      <w:rFonts w:ascii="Times New Roman" w:hAnsi="Times New Roman"/>
      <w:color w:val="999999"/>
    </w:rPr>
  </w:style>
  <w:style w:type="paragraph" w:customStyle="1" w:styleId="Spacer">
    <w:name w:val="Spacer"/>
    <w:basedOn w:val="Normal"/>
    <w:rsid w:val="00205ADF"/>
    <w:rPr>
      <w:sz w:val="2"/>
      <w:szCs w:val="2"/>
    </w:rPr>
  </w:style>
  <w:style w:type="character" w:customStyle="1" w:styleId="Small">
    <w:name w:val="Small"/>
    <w:basedOn w:val="DefaultParagraphFont"/>
    <w:rsid w:val="00205ADF"/>
    <w:rPr>
      <w:sz w:val="16"/>
    </w:rPr>
  </w:style>
  <w:style w:type="paragraph" w:customStyle="1" w:styleId="WideTable">
    <w:name w:val="Wide Table"/>
    <w:basedOn w:val="Normal"/>
    <w:rsid w:val="00205ADF"/>
    <w:pPr>
      <w:ind w:left="-1418"/>
    </w:pPr>
    <w:rPr>
      <w:sz w:val="2"/>
      <w:szCs w:val="2"/>
    </w:rPr>
  </w:style>
  <w:style w:type="character" w:styleId="PageNumber">
    <w:name w:val="page number"/>
    <w:basedOn w:val="DefaultParagraphFont"/>
    <w:rsid w:val="00205ADF"/>
  </w:style>
  <w:style w:type="paragraph" w:styleId="Quote">
    <w:name w:val="Quote"/>
    <w:basedOn w:val="Heading1"/>
    <w:link w:val="QuoteChar"/>
    <w:qFormat/>
    <w:rsid w:val="00205ADF"/>
    <w:rPr>
      <w:b w:val="0"/>
      <w:sz w:val="72"/>
      <w:szCs w:val="72"/>
      <w:lang w:val="en-NZ"/>
    </w:rPr>
  </w:style>
  <w:style w:type="character" w:customStyle="1" w:styleId="QuoteChar">
    <w:name w:val="Quote Char"/>
    <w:basedOn w:val="DefaultParagraphFont"/>
    <w:link w:val="Quote"/>
    <w:rsid w:val="00205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ADF"/>
    <w:pPr>
      <w:pageBreakBefore/>
    </w:pPr>
  </w:style>
  <w:style w:type="paragraph" w:customStyle="1" w:styleId="Border">
    <w:name w:val="Border"/>
    <w:basedOn w:val="Normal"/>
    <w:qFormat/>
    <w:rsid w:val="00205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ADF"/>
    <w:rPr>
      <w:b/>
      <w:bCs/>
      <w:i/>
      <w:iCs/>
      <w:color w:val="auto"/>
    </w:rPr>
  </w:style>
  <w:style w:type="paragraph" w:styleId="IntenseQuote">
    <w:name w:val="Intense Quote"/>
    <w:basedOn w:val="Normal"/>
    <w:next w:val="Normal"/>
    <w:link w:val="IntenseQuoteChar"/>
    <w:uiPriority w:val="30"/>
    <w:qFormat/>
    <w:rsid w:val="00205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ADF"/>
    <w:rPr>
      <w:smallCaps/>
      <w:color w:val="auto"/>
      <w:u w:val="single"/>
    </w:rPr>
  </w:style>
  <w:style w:type="character" w:styleId="IntenseReference">
    <w:name w:val="Intense Reference"/>
    <w:basedOn w:val="DefaultParagraphFont"/>
    <w:uiPriority w:val="32"/>
    <w:qFormat/>
    <w:rsid w:val="00205ADF"/>
    <w:rPr>
      <w:b/>
      <w:bCs/>
      <w:smallCaps/>
      <w:color w:val="auto"/>
      <w:spacing w:val="5"/>
      <w:u w:val="single"/>
    </w:rPr>
  </w:style>
  <w:style w:type="paragraph" w:customStyle="1" w:styleId="2ColumnHeading">
    <w:name w:val="2Column Heading"/>
    <w:basedOn w:val="BodyText"/>
    <w:qFormat/>
    <w:rsid w:val="00205ADF"/>
    <w:pPr>
      <w:spacing w:after="60"/>
      <w:ind w:left="-2268"/>
    </w:pPr>
    <w:rPr>
      <w:b/>
    </w:rPr>
  </w:style>
  <w:style w:type="paragraph" w:customStyle="1" w:styleId="Heading1TOC">
    <w:name w:val="Heading1 TOC"/>
    <w:basedOn w:val="Normal"/>
    <w:qFormat/>
    <w:rsid w:val="00205ADF"/>
    <w:pPr>
      <w:spacing w:before="240" w:after="120"/>
    </w:pPr>
    <w:rPr>
      <w:rFonts w:ascii="Times New Roman" w:hAnsi="Times New Roman"/>
      <w:b/>
      <w:sz w:val="32"/>
    </w:rPr>
  </w:style>
  <w:style w:type="paragraph" w:customStyle="1" w:styleId="Heading2TOC">
    <w:name w:val="Heading2 TOC"/>
    <w:basedOn w:val="Normal"/>
    <w:qFormat/>
    <w:rsid w:val="00205ADF"/>
    <w:pPr>
      <w:spacing w:before="240" w:after="60"/>
    </w:pPr>
    <w:rPr>
      <w:rFonts w:ascii="Times New Roman" w:hAnsi="Times New Roman"/>
      <w:b/>
      <w:sz w:val="28"/>
    </w:rPr>
  </w:style>
  <w:style w:type="character" w:customStyle="1" w:styleId="Underline">
    <w:name w:val="Underline"/>
    <w:basedOn w:val="DefaultParagraphFont"/>
    <w:qFormat/>
    <w:rsid w:val="00205ADF"/>
    <w:rPr>
      <w:u w:val="single"/>
    </w:rPr>
  </w:style>
  <w:style w:type="character" w:customStyle="1" w:styleId="BoldandItalics">
    <w:name w:val="Bold and Italics"/>
    <w:qFormat/>
    <w:rsid w:val="00205ADF"/>
    <w:rPr>
      <w:b/>
      <w:i/>
      <w:u w:val="none"/>
    </w:rPr>
  </w:style>
  <w:style w:type="paragraph" w:styleId="BalloonText">
    <w:name w:val="Balloon Text"/>
    <w:basedOn w:val="Normal"/>
    <w:link w:val="BalloonTextChar"/>
    <w:rsid w:val="00205ADF"/>
    <w:rPr>
      <w:rFonts w:ascii="Tahoma" w:hAnsi="Tahoma" w:cs="Tahoma"/>
      <w:sz w:val="16"/>
      <w:szCs w:val="16"/>
    </w:rPr>
  </w:style>
  <w:style w:type="character" w:customStyle="1" w:styleId="BalloonTextChar">
    <w:name w:val="Balloon Text Char"/>
    <w:basedOn w:val="DefaultParagraphFont"/>
    <w:link w:val="BalloonText"/>
    <w:rsid w:val="00205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ADF"/>
    <w:rPr>
      <w:b/>
      <w:color w:val="660033"/>
      <w:spacing w:val="0"/>
    </w:rPr>
  </w:style>
  <w:style w:type="paragraph" w:customStyle="1" w:styleId="Nameditemlist">
    <w:name w:val="Named item list"/>
    <w:basedOn w:val="BodyText"/>
    <w:qFormat/>
    <w:rsid w:val="00205ADF"/>
    <w:pPr>
      <w:tabs>
        <w:tab w:val="left" w:pos="2835"/>
      </w:tabs>
      <w:ind w:left="2835" w:hanging="2835"/>
    </w:pPr>
  </w:style>
  <w:style w:type="paragraph" w:customStyle="1" w:styleId="BodyTextnopadding">
    <w:name w:val="Body Text no padding"/>
    <w:basedOn w:val="BodyText"/>
    <w:qFormat/>
    <w:rsid w:val="00205ADF"/>
    <w:pPr>
      <w:spacing w:before="0" w:after="0"/>
    </w:pPr>
  </w:style>
  <w:style w:type="paragraph" w:customStyle="1" w:styleId="BodyTextBold">
    <w:name w:val="Body Text Bold"/>
    <w:basedOn w:val="BodyText"/>
    <w:qFormat/>
    <w:rsid w:val="00205ADF"/>
    <w:rPr>
      <w:b/>
    </w:rPr>
  </w:style>
  <w:style w:type="character" w:styleId="Hyperlink">
    <w:name w:val="Hyperlink"/>
    <w:basedOn w:val="DefaultParagraphFont"/>
    <w:uiPriority w:val="99"/>
    <w:unhideWhenUsed/>
    <w:rsid w:val="00C807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4073</Characters>
  <Application>Microsoft Office Word</Application>
  <DocSecurity>0</DocSecurity>
  <Lines>110</Lines>
  <Paragraphs>87</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UEEIC0034 Set up industrial field control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