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3C29" w:rsidP="00053C29">
      <w:pPr>
        <w:pStyle w:val="Title"/>
      </w:pPr>
      <w:r>
        <w:fldChar w:fldCharType="begin"/>
      </w:r>
      <w:r>
        <w:instrText xml:space="preserve"> TITLE   \* MERGEFORMAT </w:instrText>
      </w:r>
      <w:r>
        <w:fldChar w:fldCharType="separate"/>
      </w:r>
      <w:r>
        <w:t>Assessment Requirements for UEEIC0020 Fault find and repair analogue circuits and components in electronic control systems</w:t>
      </w:r>
      <w:r>
        <w:fldChar w:fldCharType="end"/>
      </w:r>
    </w:p>
    <w:p w:rsidR="00053C29" w:rsidP="00053C29">
      <w:pPr>
        <w:pStyle w:val="Version"/>
        <w:sectPr w:rsidSect="00BD28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281F" w:rsidP="00BD281F">
      <w:pPr>
        <w:pStyle w:val="SuperHeading"/>
      </w:pPr>
      <w:r w:rsidRPr="00BD281F">
        <w:t>Assessment Requirements for UEEIC0020 Fault find and repair analogue circuits and components in electronic control systems</w:t>
      </w:r>
    </w:p>
    <w:p w:rsidR="00000000" w:rsidRPr="00BD281F" w:rsidP="00BD281F">
      <w:pPr>
        <w:pStyle w:val="Heading1"/>
      </w:pPr>
      <w:bookmarkStart w:id="1" w:name="O_1082526"/>
      <w:bookmarkEnd w:id="1"/>
      <w:r w:rsidRPr="00BD281F">
        <w:t>Modification History</w:t>
      </w:r>
    </w:p>
    <w:tbl>
      <w:tblPr>
        <w:tblW w:w="9497" w:type="dxa"/>
        <w:tblLayout w:type="fixed"/>
        <w:tblCellMar>
          <w:left w:w="62" w:type="dxa"/>
          <w:right w:w="62" w:type="dxa"/>
        </w:tblCellMar>
        <w:tblLook w:val="0000"/>
      </w:tblPr>
      <w:tblGrid>
        <w:gridCol w:w="9497"/>
      </w:tblGrid>
      <w:tr w:rsidTr="00BD28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281F" w:rsidP="00BD281F">
            <w:pPr>
              <w:pStyle w:val="BodyText"/>
            </w:pPr>
            <w:r w:rsidRPr="00BD281F">
              <w:t>Release 1. This is the first release of this unit of competency in the UEE Electrotechnology Training Package.</w:t>
            </w:r>
          </w:p>
        </w:tc>
      </w:tr>
    </w:tbl>
    <w:p w:rsidR="00000000" w:rsidRPr="00BD281F" w:rsidP="00BD281F">
      <w:pPr>
        <w:pStyle w:val="NoPaddingFontSize1"/>
      </w:pPr>
    </w:p>
    <w:p w:rsidR="00000000" w:rsidRPr="00BD281F" w:rsidP="00BD281F">
      <w:pPr>
        <w:pStyle w:val="AllowPageBreak"/>
      </w:pPr>
    </w:p>
    <w:p w:rsidR="00000000" w:rsidRPr="00BD281F" w:rsidP="00BD281F">
      <w:pPr>
        <w:pStyle w:val="Heading1"/>
      </w:pPr>
      <w:bookmarkStart w:id="2" w:name="O_1082527"/>
      <w:bookmarkEnd w:id="2"/>
      <w:r w:rsidRPr="00BD281F">
        <w:t>Performance Evidence</w:t>
      </w:r>
    </w:p>
    <w:tbl>
      <w:tblPr>
        <w:tblW w:w="9497" w:type="dxa"/>
        <w:tblLayout w:type="fixed"/>
        <w:tblCellMar>
          <w:left w:w="62" w:type="dxa"/>
          <w:right w:w="62" w:type="dxa"/>
        </w:tblCellMar>
        <w:tblLook w:val="0000"/>
      </w:tblPr>
      <w:tblGrid>
        <w:gridCol w:w="9497"/>
      </w:tblGrid>
      <w:tr w:rsidTr="00BD28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281F">
            <w:pPr>
              <w:pStyle w:val="BodyText"/>
              <w:rPr>
                <w:lang w:val="en-NZ"/>
              </w:rPr>
            </w:pPr>
            <w:r w:rsidRPr="00BD281F">
              <w:t>Evidence required to demonstrate competence in this unit must be relevant to and satisfy all of the req</w:t>
            </w:r>
            <w:r w:rsidRPr="00BD281F">
              <w:t xml:space="preserve">uirements of the elements, performance criteria and range of conditions on at least two separate occasions and include: </w:t>
            </w:r>
          </w:p>
        </w:tc>
      </w:tr>
      <w:tr w:rsidTr="00BD28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281F" w:rsidP="00BD281F">
            <w:pPr>
              <w:pStyle w:val="ListBullet"/>
            </w:pPr>
            <w:r w:rsidRPr="00BD281F">
              <w:t>applying diagnostic methods</w:t>
            </w:r>
          </w:p>
          <w:p w:rsidR="00000000" w:rsidRPr="00BD281F" w:rsidP="00BD281F">
            <w:pPr>
              <w:pStyle w:val="ListBullet"/>
            </w:pPr>
            <w:r w:rsidRPr="00BD281F">
              <w:t>applying relevant work health and safety (WHS)/occupational health and safety (OHS) requirements, includi</w:t>
            </w:r>
            <w:r w:rsidRPr="00BD281F">
              <w:t>ng implementing risk control measures</w:t>
            </w:r>
          </w:p>
          <w:p w:rsidR="00000000" w:rsidRPr="00BD281F" w:rsidP="00BD281F">
            <w:pPr>
              <w:pStyle w:val="ListBullet"/>
            </w:pPr>
            <w:r w:rsidRPr="00BD281F">
              <w:t>applying sustainable energy principles and practices</w:t>
            </w:r>
          </w:p>
          <w:p w:rsidR="00000000" w:rsidRPr="00BD281F" w:rsidP="00BD281F">
            <w:pPr>
              <w:pStyle w:val="ListBullet"/>
            </w:pPr>
            <w:r w:rsidRPr="00BD281F">
              <w:t>completing and reporting faults and repairs</w:t>
            </w:r>
          </w:p>
          <w:p w:rsidR="00000000" w:rsidRPr="00BD281F" w:rsidP="00BD281F">
            <w:pPr>
              <w:pStyle w:val="ListBullet"/>
            </w:pPr>
            <w:r w:rsidRPr="00BD281F">
              <w:t>consulting relevant person/s</w:t>
            </w:r>
          </w:p>
          <w:p w:rsidR="00000000" w:rsidRPr="00BD281F" w:rsidP="00BD281F">
            <w:pPr>
              <w:pStyle w:val="ListBullet"/>
            </w:pPr>
            <w:r w:rsidRPr="00BD281F">
              <w:t>dealing with unplanned events/situations in accordance with workplace procedures in a manner</w:t>
            </w:r>
            <w:r w:rsidRPr="00BD281F">
              <w:t xml:space="preserve"> that minimises risk to personnel and equipment</w:t>
            </w:r>
          </w:p>
          <w:p w:rsidR="00000000" w:rsidRPr="00BD281F" w:rsidP="00BD281F">
            <w:pPr>
              <w:pStyle w:val="ListBullet"/>
            </w:pPr>
            <w:r w:rsidRPr="00BD281F">
              <w:t>documenting fault rectification</w:t>
            </w:r>
          </w:p>
          <w:p w:rsidR="00000000" w:rsidRPr="00BD281F" w:rsidP="00BD281F">
            <w:pPr>
              <w:pStyle w:val="ListBullet"/>
            </w:pPr>
            <w:r w:rsidRPr="00BD281F">
              <w:t>finding and repairing faults of analogue circuits</w:t>
            </w:r>
          </w:p>
          <w:p w:rsidR="00000000" w:rsidRPr="00BD281F" w:rsidP="00BD281F">
            <w:pPr>
              <w:pStyle w:val="ListBullet"/>
            </w:pPr>
            <w:r w:rsidRPr="00BD281F">
              <w:t>identifying, rectifying and determining extent of faults and causes</w:t>
            </w:r>
          </w:p>
          <w:p w:rsidR="00000000" w:rsidRPr="00BD281F" w:rsidP="00BD281F">
            <w:pPr>
              <w:pStyle w:val="ListBullet"/>
            </w:pPr>
            <w:r w:rsidRPr="00BD281F">
              <w:t>isolating circuits/machines/plant</w:t>
            </w:r>
          </w:p>
          <w:p w:rsidR="00000000" w:rsidRPr="00BD281F" w:rsidP="00BD281F">
            <w:pPr>
              <w:pStyle w:val="ListBullet"/>
            </w:pPr>
            <w:r w:rsidRPr="00BD281F">
              <w:t>obtaining tools, equipment and testing devices</w:t>
            </w:r>
          </w:p>
          <w:p w:rsidR="00000000" w:rsidRPr="00BD281F" w:rsidP="00BD281F">
            <w:pPr>
              <w:pStyle w:val="ListBullet"/>
            </w:pPr>
            <w:r w:rsidRPr="00BD281F">
              <w:t>rectifying faults in system analogue circuits and components</w:t>
            </w:r>
          </w:p>
          <w:p w:rsidR="00000000" w:rsidRPr="00BD281F" w:rsidP="00BD281F">
            <w:pPr>
              <w:pStyle w:val="ListBullet"/>
            </w:pPr>
            <w:r w:rsidRPr="00BD281F">
              <w:t>testing and measuring live electrical components</w:t>
            </w:r>
          </w:p>
          <w:p w:rsidR="00000000" w:rsidRPr="00BD281F" w:rsidP="00BD281F">
            <w:pPr>
              <w:pStyle w:val="ListBullet"/>
            </w:pPr>
            <w:r w:rsidRPr="00BD281F">
              <w:t>using fault scenarios to test causes of system faults</w:t>
            </w:r>
          </w:p>
          <w:p w:rsidR="00000000" w:rsidRPr="00BD281F" w:rsidP="00BD281F">
            <w:pPr>
              <w:pStyle w:val="ListBullet"/>
            </w:pPr>
            <w:r w:rsidRPr="00BD281F">
              <w:t>verifying the control system operates correct</w:t>
            </w:r>
            <w:r w:rsidRPr="00BD281F">
              <w:t>ly.</w:t>
            </w:r>
          </w:p>
        </w:tc>
      </w:tr>
    </w:tbl>
    <w:p w:rsidR="00000000" w:rsidRPr="00BD281F" w:rsidP="00BD281F">
      <w:pPr>
        <w:pStyle w:val="NoPaddingFontSize1"/>
      </w:pPr>
    </w:p>
    <w:p w:rsidR="00000000" w:rsidRPr="00BD281F" w:rsidP="00BD281F">
      <w:pPr>
        <w:pStyle w:val="AllowPageBreak"/>
      </w:pPr>
    </w:p>
    <w:p w:rsidR="00000000" w:rsidRPr="00BD281F" w:rsidP="00BD281F">
      <w:pPr>
        <w:pStyle w:val="Heading1"/>
      </w:pPr>
      <w:bookmarkStart w:id="3" w:name="O_1082528"/>
      <w:bookmarkEnd w:id="3"/>
      <w:r w:rsidRPr="00BD281F">
        <w:t>Knowledge Evidence</w:t>
      </w:r>
    </w:p>
    <w:tbl>
      <w:tblPr>
        <w:tblW w:w="9497" w:type="dxa"/>
        <w:tblLayout w:type="fixed"/>
        <w:tblCellMar>
          <w:left w:w="62" w:type="dxa"/>
          <w:right w:w="62" w:type="dxa"/>
        </w:tblCellMar>
        <w:tblLook w:val="0000"/>
      </w:tblPr>
      <w:tblGrid>
        <w:gridCol w:w="9497"/>
      </w:tblGrid>
      <w:tr w:rsidTr="00BD28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281F">
            <w:pPr>
              <w:pStyle w:val="BodyText"/>
              <w:rPr>
                <w:lang w:val="en-NZ"/>
              </w:rPr>
            </w:pPr>
            <w:r w:rsidRPr="00BD281F">
              <w:t xml:space="preserve">Evidence required to demonstrate competence in this unit must be relevant to and satisfy all of the requirements of the elements, performance criteria and range of conditions and include knowledge of: </w:t>
            </w:r>
          </w:p>
        </w:tc>
      </w:tr>
      <w:tr w:rsidTr="00BD28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281F" w:rsidP="00BD281F">
            <w:pPr>
              <w:pStyle w:val="ListBullet"/>
            </w:pPr>
            <w:r w:rsidRPr="00BD281F">
              <w:t>amplifier fundamentals, including:</w:t>
            </w:r>
          </w:p>
          <w:p w:rsidR="00000000" w:rsidRPr="00BD281F" w:rsidP="00BD281F">
            <w:pPr>
              <w:pStyle w:val="ListBullet2"/>
            </w:pPr>
            <w:r w:rsidRPr="00BD281F">
              <w:t>the purpose and application of amplifiers</w:t>
            </w:r>
          </w:p>
          <w:p w:rsidR="00000000" w:rsidRPr="00BD281F" w:rsidP="00BD281F">
            <w:pPr>
              <w:pStyle w:val="ListBullet2"/>
            </w:pPr>
            <w:r w:rsidRPr="00BD281F">
              <w:t>the basic characteristics of small signal amplifiers</w:t>
            </w:r>
          </w:p>
          <w:p w:rsidR="00000000" w:rsidRPr="00BD281F" w:rsidP="00BD281F">
            <w:pPr>
              <w:pStyle w:val="ListBullet2"/>
            </w:pPr>
            <w:r w:rsidRPr="00BD281F">
              <w:t>the ideal operational amplifier</w:t>
            </w:r>
          </w:p>
          <w:p w:rsidR="00000000" w:rsidRPr="00BD281F" w:rsidP="00BD281F">
            <w:pPr>
              <w:pStyle w:val="ListBullet"/>
            </w:pPr>
            <w:r w:rsidRPr="00BD281F">
              <w:t>basic operational amplifier configurations, including:</w:t>
            </w:r>
          </w:p>
          <w:p w:rsidR="00000000" w:rsidRPr="00BD281F" w:rsidP="00BD281F">
            <w:pPr>
              <w:pStyle w:val="ListBullet2"/>
            </w:pPr>
            <w:r w:rsidRPr="00BD281F">
              <w:t>various operational amplifier circui</w:t>
            </w:r>
            <w:r w:rsidRPr="00BD281F">
              <w:t>t configurations and where they are used</w:t>
            </w:r>
          </w:p>
          <w:p w:rsidR="00000000" w:rsidRPr="00BD281F" w:rsidP="00BD281F">
            <w:pPr>
              <w:pStyle w:val="ListBullet2"/>
            </w:pPr>
            <w:r w:rsidRPr="00BD281F">
              <w:t>measured and calculated values of gain and output voltage for various operational amplifier configurations</w:t>
            </w:r>
          </w:p>
          <w:p w:rsidR="00000000" w:rsidRPr="00BD281F" w:rsidP="00BD281F">
            <w:pPr>
              <w:pStyle w:val="ListBullet2"/>
            </w:pPr>
            <w:r w:rsidRPr="00BD281F">
              <w:t>circuit configurations, including:</w:t>
            </w:r>
          </w:p>
          <w:p w:rsidR="00000000" w:rsidRPr="00BD281F" w:rsidP="00BD281F">
            <w:pPr>
              <w:pStyle w:val="ListBullet3"/>
            </w:pPr>
            <w:r w:rsidRPr="00BD281F">
              <w:t>inverting</w:t>
            </w:r>
          </w:p>
          <w:p w:rsidR="00000000" w:rsidRPr="00BD281F" w:rsidP="00BD281F">
            <w:pPr>
              <w:pStyle w:val="ListBullet3"/>
            </w:pPr>
            <w:r w:rsidRPr="00BD281F">
              <w:t>non-inverting</w:t>
            </w:r>
          </w:p>
          <w:p w:rsidR="00000000" w:rsidRPr="00BD281F" w:rsidP="00BD281F">
            <w:pPr>
              <w:pStyle w:val="ListBullet3"/>
            </w:pPr>
            <w:r w:rsidRPr="00BD281F">
              <w:t>voltage follower</w:t>
            </w:r>
          </w:p>
          <w:p w:rsidR="00000000" w:rsidRPr="00BD281F" w:rsidP="00BD281F">
            <w:pPr>
              <w:pStyle w:val="ListBullet3"/>
            </w:pPr>
            <w:r w:rsidRPr="00BD281F">
              <w:t>summing</w:t>
            </w:r>
          </w:p>
          <w:p w:rsidR="00000000" w:rsidRPr="00BD281F" w:rsidP="00BD281F">
            <w:pPr>
              <w:pStyle w:val="ListBullet3"/>
            </w:pPr>
            <w:r w:rsidRPr="00BD281F">
              <w:t>comparators</w:t>
            </w:r>
          </w:p>
          <w:p w:rsidR="00000000" w:rsidRPr="00BD281F" w:rsidP="00BD281F">
            <w:pPr>
              <w:pStyle w:val="ListBullet3"/>
            </w:pPr>
            <w:r w:rsidRPr="00BD281F">
              <w:t>Schmitt trigger</w:t>
            </w:r>
          </w:p>
          <w:p w:rsidR="00000000" w:rsidRPr="00BD281F" w:rsidP="00BD281F">
            <w:pPr>
              <w:pStyle w:val="ListBullet3"/>
            </w:pPr>
            <w:r w:rsidRPr="00BD281F">
              <w:t>differential configurations</w:t>
            </w:r>
          </w:p>
          <w:p w:rsidR="00000000" w:rsidRPr="00BD281F" w:rsidP="00BD281F">
            <w:pPr>
              <w:pStyle w:val="ListBullet"/>
            </w:pPr>
            <w:r w:rsidRPr="00BD281F">
              <w:t>operational amplifier limitations, including:</w:t>
            </w:r>
          </w:p>
          <w:p w:rsidR="00000000" w:rsidRPr="00BD281F" w:rsidP="00BD281F">
            <w:pPr>
              <w:pStyle w:val="ListBullet2"/>
            </w:pPr>
            <w:r w:rsidRPr="00BD281F">
              <w:t>use of frequency compensation</w:t>
            </w:r>
          </w:p>
          <w:p w:rsidR="00000000" w:rsidRPr="00BD281F" w:rsidP="00BD281F">
            <w:pPr>
              <w:pStyle w:val="ListBullet2"/>
            </w:pPr>
            <w:r w:rsidRPr="00BD281F">
              <w:t>offset null</w:t>
            </w:r>
          </w:p>
          <w:p w:rsidR="00000000" w:rsidRPr="00BD281F" w:rsidP="00BD281F">
            <w:pPr>
              <w:pStyle w:val="ListBullet2"/>
            </w:pPr>
            <w:r w:rsidRPr="00BD281F">
              <w:t>bias compensation</w:t>
            </w:r>
          </w:p>
          <w:p w:rsidR="00000000" w:rsidRPr="00BD281F" w:rsidP="00BD281F">
            <w:pPr>
              <w:pStyle w:val="ListBullet2"/>
            </w:pPr>
            <w:r w:rsidRPr="00BD281F">
              <w:t>slew rate</w:t>
            </w:r>
          </w:p>
          <w:p w:rsidR="00000000" w:rsidRPr="00BD281F" w:rsidP="00BD281F">
            <w:pPr>
              <w:pStyle w:val="ListBullet2"/>
            </w:pPr>
            <w:r w:rsidRPr="00BD281F">
              <w:t>frequency response</w:t>
            </w:r>
          </w:p>
          <w:p w:rsidR="00000000" w:rsidRPr="00BD281F" w:rsidP="00BD281F">
            <w:pPr>
              <w:pStyle w:val="ListBullet2"/>
            </w:pPr>
            <w:r w:rsidRPr="00BD281F">
              <w:t>bandwidth</w:t>
            </w:r>
          </w:p>
          <w:p w:rsidR="00000000" w:rsidRPr="00BD281F" w:rsidP="00BD281F">
            <w:pPr>
              <w:pStyle w:val="ListBullet2"/>
            </w:pPr>
            <w:r w:rsidRPr="00BD281F">
              <w:t>noise figures</w:t>
            </w:r>
          </w:p>
          <w:p w:rsidR="00000000" w:rsidRPr="00BD281F" w:rsidP="00BD281F">
            <w:pPr>
              <w:pStyle w:val="ListBullet"/>
            </w:pPr>
            <w:r w:rsidRPr="00BD281F">
              <w:t>single-stage amplifiers, including:</w:t>
            </w:r>
          </w:p>
          <w:p w:rsidR="00000000" w:rsidRPr="00BD281F" w:rsidP="00BD281F">
            <w:pPr>
              <w:pStyle w:val="ListBullet2"/>
            </w:pPr>
            <w:r w:rsidRPr="00BD281F">
              <w:t>determination of direct current (d.c.) bias conditions for a single-stage amplifier</w:t>
            </w:r>
          </w:p>
          <w:p w:rsidR="00000000" w:rsidRPr="00BD281F" w:rsidP="00BD281F">
            <w:pPr>
              <w:pStyle w:val="ListBullet2"/>
            </w:pPr>
            <w:r w:rsidRPr="00BD281F">
              <w:t>small signal terminal characteristics of single-stage amplifiers</w:t>
            </w:r>
          </w:p>
          <w:p w:rsidR="00000000" w:rsidRPr="00BD281F" w:rsidP="00BD281F">
            <w:pPr>
              <w:pStyle w:val="ListBullet2"/>
            </w:pPr>
            <w:r w:rsidRPr="00BD281F">
              <w:t>effects of coupling and by-pass capacitors in single-stage amplifiers</w:t>
            </w:r>
          </w:p>
          <w:p w:rsidR="00000000" w:rsidRPr="00BD281F" w:rsidP="00BD281F">
            <w:pPr>
              <w:pStyle w:val="ListBullet"/>
            </w:pPr>
            <w:r w:rsidRPr="00BD281F">
              <w:t>amplifier applications, including:</w:t>
            </w:r>
          </w:p>
          <w:p w:rsidR="00000000" w:rsidRPr="00BD281F" w:rsidP="00BD281F">
            <w:pPr>
              <w:pStyle w:val="ListBullet2"/>
            </w:pPr>
            <w:r w:rsidRPr="00BD281F">
              <w:t>operation of multi-stage amplifiers</w:t>
            </w:r>
          </w:p>
          <w:p w:rsidR="00000000" w:rsidRPr="00BD281F" w:rsidP="00BD281F">
            <w:pPr>
              <w:pStyle w:val="ListBullet2"/>
            </w:pPr>
            <w:r w:rsidRPr="00BD281F">
              <w:t>effects of component values and frequency response</w:t>
            </w:r>
          </w:p>
          <w:p w:rsidR="00000000" w:rsidRPr="00BD281F" w:rsidP="00BD281F">
            <w:pPr>
              <w:pStyle w:val="ListBullet2"/>
            </w:pPr>
            <w:r w:rsidRPr="00BD281F">
              <w:t>negative feedback loop in multi-stage amplifiers</w:t>
            </w:r>
          </w:p>
          <w:p w:rsidR="00000000" w:rsidRPr="00BD281F" w:rsidP="00BD281F">
            <w:pPr>
              <w:pStyle w:val="ListBullet2"/>
            </w:pPr>
            <w:r w:rsidRPr="00BD281F">
              <w:t>negative feedback and amplifier parameters</w:t>
            </w:r>
          </w:p>
          <w:p w:rsidR="00000000" w:rsidRPr="00BD281F" w:rsidP="00BD281F">
            <w:pPr>
              <w:pStyle w:val="ListBullet2"/>
            </w:pPr>
            <w:r w:rsidRPr="00BD281F">
              <w:t>effects on the output voltage when amplifiers are subjected to c</w:t>
            </w:r>
            <w:r w:rsidRPr="00BD281F">
              <w:t>ontrol signal overdrive, bias faults and amplifying device faults</w:t>
            </w:r>
          </w:p>
          <w:p w:rsidR="00000000" w:rsidRPr="00BD281F" w:rsidP="00BD281F">
            <w:pPr>
              <w:pStyle w:val="ListBullet"/>
            </w:pPr>
            <w:r w:rsidRPr="00BD281F">
              <w:tab/>
              <w:t>operational amplifier /diode circuits, including:</w:t>
            </w:r>
          </w:p>
          <w:p w:rsidR="00000000" w:rsidRPr="00BD281F" w:rsidP="00BD281F">
            <w:pPr>
              <w:pStyle w:val="ListBullet2"/>
            </w:pPr>
            <w:r w:rsidRPr="00BD281F">
              <w:t>clippers</w:t>
            </w:r>
          </w:p>
          <w:p w:rsidR="00000000" w:rsidRPr="00BD281F" w:rsidP="00BD281F">
            <w:pPr>
              <w:pStyle w:val="ListBullet2"/>
            </w:pPr>
            <w:r w:rsidRPr="00BD281F">
              <w:t>clamp circuits</w:t>
            </w:r>
          </w:p>
          <w:p w:rsidR="00000000" w:rsidRPr="00BD281F" w:rsidP="00BD281F">
            <w:pPr>
              <w:pStyle w:val="ListBullet2"/>
            </w:pPr>
            <w:r w:rsidRPr="00BD281F">
              <w:t>precision rectifiers</w:t>
            </w:r>
          </w:p>
          <w:p w:rsidR="00000000" w:rsidRPr="00BD281F" w:rsidP="00BD281F">
            <w:pPr>
              <w:pStyle w:val="ListBullet"/>
            </w:pPr>
            <w:r w:rsidRPr="00BD281F">
              <w:t>oscillators, including:</w:t>
            </w:r>
          </w:p>
          <w:p w:rsidR="00000000" w:rsidRPr="00BD281F" w:rsidP="00BD281F">
            <w:pPr>
              <w:pStyle w:val="ListBullet2"/>
            </w:pPr>
            <w:r w:rsidRPr="00BD281F">
              <w:t>oscillator circuits using operational amplifiers</w:t>
            </w:r>
          </w:p>
          <w:p w:rsidR="00000000" w:rsidRPr="00BD281F" w:rsidP="00BD281F">
            <w:pPr>
              <w:pStyle w:val="ListBullet2"/>
            </w:pPr>
            <w:r w:rsidRPr="00BD281F">
              <w:t>sine wave</w:t>
            </w:r>
          </w:p>
          <w:p w:rsidR="00000000" w:rsidRPr="00BD281F" w:rsidP="00BD281F">
            <w:pPr>
              <w:pStyle w:val="ListBullet2"/>
            </w:pPr>
            <w:r w:rsidRPr="00BD281F">
              <w:t xml:space="preserve">square </w:t>
            </w:r>
            <w:r w:rsidRPr="00BD281F">
              <w:t>wave</w:t>
            </w:r>
          </w:p>
          <w:p w:rsidR="00000000" w:rsidRPr="00BD281F" w:rsidP="00BD281F">
            <w:pPr>
              <w:pStyle w:val="ListBullet2"/>
            </w:pPr>
            <w:r w:rsidRPr="00BD281F">
              <w:t>triangular wave</w:t>
            </w:r>
          </w:p>
          <w:p w:rsidR="00000000" w:rsidRPr="00BD281F" w:rsidP="00BD281F">
            <w:pPr>
              <w:pStyle w:val="ListBullet2"/>
            </w:pPr>
            <w:r w:rsidRPr="00BD281F">
              <w:t>sawtooth</w:t>
            </w:r>
          </w:p>
          <w:p w:rsidR="00000000" w:rsidRPr="00BD281F" w:rsidP="00BD281F">
            <w:pPr>
              <w:pStyle w:val="ListBullet"/>
            </w:pPr>
            <w:r w:rsidRPr="00BD281F">
              <w:t>operational amplifier /resistance/capacitance (RC) circuits, including:</w:t>
            </w:r>
          </w:p>
          <w:p w:rsidR="00000000" w:rsidRPr="00BD281F" w:rsidP="00BD281F">
            <w:pPr>
              <w:pStyle w:val="ListBullet2"/>
            </w:pPr>
            <w:r w:rsidRPr="00BD281F">
              <w:t>integrator</w:t>
            </w:r>
          </w:p>
          <w:p w:rsidR="00000000" w:rsidRPr="00BD281F" w:rsidP="00BD281F">
            <w:pPr>
              <w:pStyle w:val="ListBullet2"/>
            </w:pPr>
            <w:r w:rsidRPr="00BD281F">
              <w:t>differentiator</w:t>
            </w:r>
          </w:p>
          <w:p w:rsidR="00000000" w:rsidRPr="00BD281F" w:rsidP="00BD281F">
            <w:pPr>
              <w:pStyle w:val="ListBullet2"/>
            </w:pPr>
            <w:r w:rsidRPr="00BD281F">
              <w:t>function generators</w:t>
            </w:r>
          </w:p>
          <w:p w:rsidR="00000000" w:rsidRPr="00BD281F" w:rsidP="00BD281F">
            <w:pPr>
              <w:pStyle w:val="ListBullet"/>
            </w:pPr>
            <w:r w:rsidRPr="00BD281F">
              <w:t>filters, including:</w:t>
            </w:r>
          </w:p>
          <w:p w:rsidR="00000000" w:rsidRPr="00BD281F" w:rsidP="00BD281F">
            <w:pPr>
              <w:pStyle w:val="ListBullet2"/>
            </w:pPr>
            <w:r w:rsidRPr="00BD281F">
              <w:t>active filter circuits</w:t>
            </w:r>
          </w:p>
          <w:p w:rsidR="00000000" w:rsidRPr="00BD281F" w:rsidP="00BD281F">
            <w:pPr>
              <w:pStyle w:val="ListBullet2"/>
            </w:pPr>
            <w:r w:rsidRPr="00BD281F">
              <w:t>first and second order</w:t>
            </w:r>
          </w:p>
          <w:p w:rsidR="00000000" w:rsidRPr="00BD281F" w:rsidP="00BD281F">
            <w:pPr>
              <w:pStyle w:val="ListBullet2"/>
            </w:pPr>
            <w:r w:rsidRPr="00BD281F">
              <w:t>low, high and band pass circuits</w:t>
            </w:r>
          </w:p>
          <w:p w:rsidR="00000000" w:rsidRPr="00BD281F" w:rsidP="00BD281F">
            <w:pPr>
              <w:pStyle w:val="ListBullet"/>
            </w:pPr>
            <w:r w:rsidRPr="00BD281F">
              <w:t>timers, including operation of typical timer integrated circuits</w:t>
            </w:r>
          </w:p>
          <w:p w:rsidR="00000000" w:rsidRPr="00BD281F" w:rsidP="00BD281F">
            <w:pPr>
              <w:pStyle w:val="ListBullet"/>
            </w:pPr>
            <w:r w:rsidRPr="00BD281F">
              <w:t>power amplifiers including:</w:t>
            </w:r>
          </w:p>
          <w:p w:rsidR="00000000" w:rsidRPr="00BD281F" w:rsidP="00BD281F">
            <w:pPr>
              <w:pStyle w:val="ListBullet2"/>
            </w:pPr>
            <w:r w:rsidRPr="00BD281F">
              <w:t>power output integrated circuits</w:t>
            </w:r>
          </w:p>
          <w:p w:rsidR="00000000" w:rsidRPr="00BD281F" w:rsidP="00BD281F">
            <w:pPr>
              <w:pStyle w:val="ListBullet2"/>
            </w:pPr>
            <w:r w:rsidRPr="00BD281F">
              <w:t>power amplifiers using operational amplifiers</w:t>
            </w:r>
          </w:p>
          <w:p w:rsidR="00000000" w:rsidRPr="00BD281F" w:rsidP="00BD281F">
            <w:pPr>
              <w:pStyle w:val="ListBullet2"/>
            </w:pPr>
            <w:r w:rsidRPr="00BD281F">
              <w:t>power supplies</w:t>
            </w:r>
          </w:p>
          <w:p w:rsidR="00000000" w:rsidRPr="00BD281F" w:rsidP="00BD281F">
            <w:pPr>
              <w:pStyle w:val="ListBullet"/>
            </w:pPr>
            <w:r w:rsidRPr="00BD281F">
              <w:t>multi-stage circuits, including:</w:t>
            </w:r>
          </w:p>
          <w:p w:rsidR="00000000" w:rsidRPr="00BD281F" w:rsidP="00BD281F">
            <w:pPr>
              <w:pStyle w:val="ListBullet2"/>
            </w:pPr>
            <w:r w:rsidRPr="00BD281F">
              <w:t xml:space="preserve">circuits using several different </w:t>
            </w:r>
            <w:r w:rsidRPr="00BD281F">
              <w:t>operational amplifier configurations</w:t>
            </w:r>
          </w:p>
          <w:p w:rsidR="00000000" w:rsidRPr="00BD281F" w:rsidP="00BD281F">
            <w:pPr>
              <w:pStyle w:val="ListBullet2"/>
            </w:pPr>
            <w:r w:rsidRPr="00BD281F">
              <w:t>fault-finding procedures</w:t>
            </w:r>
          </w:p>
          <w:p w:rsidR="00000000" w:rsidRPr="00BD281F" w:rsidP="00BD281F">
            <w:pPr>
              <w:pStyle w:val="ListBullet"/>
            </w:pPr>
            <w:r w:rsidRPr="00BD281F">
              <w:t>analogue circuit faults</w:t>
            </w:r>
          </w:p>
          <w:p w:rsidR="00000000" w:rsidRPr="00BD281F" w:rsidP="00BD281F">
            <w:pPr>
              <w:pStyle w:val="ListBullet"/>
            </w:pPr>
            <w:r w:rsidRPr="00BD281F">
              <w:t>analogue circuits and components in electronic control systems</w:t>
            </w:r>
          </w:p>
          <w:p w:rsidR="00000000" w:rsidRPr="00BD281F" w:rsidP="00BD281F">
            <w:pPr>
              <w:pStyle w:val="ListBullet"/>
            </w:pPr>
            <w:r w:rsidRPr="00BD281F">
              <w:t>diagnostic methods</w:t>
            </w:r>
          </w:p>
          <w:p w:rsidR="00000000" w:rsidRPr="00BD281F" w:rsidP="00BD281F">
            <w:pPr>
              <w:pStyle w:val="ListBullet"/>
            </w:pPr>
            <w:r w:rsidRPr="00BD281F">
              <w:t>relevant job safety assessments or risk mitigation processes, including risk control measures</w:t>
            </w:r>
          </w:p>
          <w:p w:rsidR="00000000" w:rsidRPr="00BD281F" w:rsidP="00BD281F">
            <w:pPr>
              <w:pStyle w:val="ListBullet"/>
            </w:pPr>
            <w:r w:rsidRPr="00BD281F">
              <w:t>relevant manufacturer specifications</w:t>
            </w:r>
          </w:p>
          <w:p w:rsidR="00000000" w:rsidRPr="00BD281F" w:rsidP="00BD281F">
            <w:pPr>
              <w:pStyle w:val="ListBullet"/>
            </w:pPr>
            <w:r w:rsidRPr="00BD281F">
              <w:t>relevant WHS/OHS legislated requirements</w:t>
            </w:r>
          </w:p>
          <w:p w:rsidR="00000000" w:rsidRPr="00BD281F" w:rsidP="00BD281F">
            <w:pPr>
              <w:pStyle w:val="ListBullet"/>
            </w:pPr>
            <w:r w:rsidRPr="00BD281F">
              <w:t>relevant workplace documentation</w:t>
            </w:r>
          </w:p>
          <w:p w:rsidR="00000000" w:rsidRPr="00BD281F" w:rsidP="00BD281F">
            <w:pPr>
              <w:pStyle w:val="ListBullet"/>
            </w:pPr>
            <w:r w:rsidRPr="00BD281F">
              <w:t>relevant workplace policies and procedures</w:t>
            </w:r>
          </w:p>
          <w:p w:rsidR="00000000" w:rsidRPr="00BD281F" w:rsidP="00BD281F">
            <w:pPr>
              <w:pStyle w:val="ListBullet"/>
            </w:pPr>
            <w:r w:rsidRPr="00BD281F">
              <w:t>sustaina</w:t>
            </w:r>
            <w:r w:rsidRPr="00BD281F">
              <w:t>ble energy principles and practices</w:t>
            </w:r>
          </w:p>
          <w:p w:rsidR="00000000" w:rsidRPr="00BD281F" w:rsidP="00BD281F">
            <w:pPr>
              <w:pStyle w:val="ListBullet"/>
            </w:pPr>
            <w:r w:rsidRPr="00BD281F">
              <w:t>system testing and verification techniques.</w:t>
            </w:r>
          </w:p>
        </w:tc>
      </w:tr>
    </w:tbl>
    <w:p w:rsidR="00000000" w:rsidRPr="00BD281F" w:rsidP="00BD281F">
      <w:pPr>
        <w:pStyle w:val="NoPaddingFontSize1"/>
      </w:pPr>
    </w:p>
    <w:p w:rsidR="00000000" w:rsidRPr="00BD281F" w:rsidP="00BD281F">
      <w:pPr>
        <w:pStyle w:val="AllowPageBreak"/>
      </w:pPr>
    </w:p>
    <w:p w:rsidR="00000000" w:rsidRPr="00BD281F" w:rsidP="00BD281F">
      <w:pPr>
        <w:pStyle w:val="Heading1"/>
      </w:pPr>
      <w:bookmarkStart w:id="4" w:name="O_1082529"/>
      <w:bookmarkEnd w:id="4"/>
      <w:r w:rsidRPr="00BD281F">
        <w:t>Assessment Conditions</w:t>
      </w:r>
    </w:p>
    <w:tbl>
      <w:tblPr>
        <w:tblW w:w="9497" w:type="dxa"/>
        <w:tblLayout w:type="fixed"/>
        <w:tblCellMar>
          <w:left w:w="62" w:type="dxa"/>
          <w:right w:w="62" w:type="dxa"/>
        </w:tblCellMar>
        <w:tblLook w:val="0000"/>
      </w:tblPr>
      <w:tblGrid>
        <w:gridCol w:w="9497"/>
      </w:tblGrid>
      <w:tr w:rsidTr="00BD28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281F" w:rsidP="00BD281F">
            <w:pPr>
              <w:pStyle w:val="BodyText"/>
            </w:pPr>
            <w:r w:rsidRPr="00BD281F">
              <w:t>Assessors must hold credentials specified within the Standards for Registered Training Organisations current at the time of assessment.</w:t>
            </w:r>
          </w:p>
          <w:p w:rsidR="00000000" w:rsidRPr="00BD281F" w:rsidP="00BD281F">
            <w:pPr>
              <w:pStyle w:val="BodyText"/>
            </w:pPr>
            <w:r w:rsidRPr="00BD281F">
              <w:t>Assessment must satisfy the Principles of Assessment and Rules of Evidence and all regulatory requirements included with</w:t>
            </w:r>
            <w:r w:rsidRPr="00BD281F">
              <w:t>in the Standards for Registered Training Organisations current at the time of assessment.</w:t>
            </w:r>
          </w:p>
          <w:p w:rsidR="00000000" w:rsidRPr="00BD281F" w:rsidP="00BD281F">
            <w:pPr>
              <w:pStyle w:val="BodyText"/>
            </w:pPr>
            <w:r w:rsidRPr="00BD281F">
              <w:t>Assessment must occur in workplace operational situations where it is appropriate to do so; where this is not appropriate, assessment must occur in simulated workplac</w:t>
            </w:r>
            <w:r w:rsidRPr="00BD281F">
              <w:t>e operational situations that replicate workplace conditions.</w:t>
            </w:r>
          </w:p>
          <w:p w:rsidR="00000000" w:rsidRPr="00BD281F" w:rsidP="00BD281F">
            <w:pPr>
              <w:pStyle w:val="BodyText"/>
            </w:pPr>
            <w:r w:rsidRPr="00BD281F">
              <w:t>Assessment processes and techniques must be appropriate to the language, literacy and numeracy requirements of the work being performed and the needs of the candidate.</w:t>
            </w:r>
          </w:p>
          <w:p w:rsidR="00000000" w:rsidRPr="00BD281F" w:rsidP="00BD281F">
            <w:pPr>
              <w:pStyle w:val="BodyText"/>
            </w:pPr>
            <w:r w:rsidRPr="00BD281F">
              <w:t>Resources for assessment m</w:t>
            </w:r>
            <w:r w:rsidRPr="00BD281F">
              <w:t>ust include access to:</w:t>
            </w:r>
          </w:p>
          <w:p w:rsidR="00000000" w:rsidRPr="00BD281F" w:rsidP="00BD281F">
            <w:pPr>
              <w:pStyle w:val="ListBullet"/>
            </w:pPr>
            <w:r w:rsidRPr="00BD281F">
              <w:t>a range of relevant exercises, case studies and/or other simulations</w:t>
            </w:r>
          </w:p>
          <w:p w:rsidR="00000000" w:rsidRPr="00BD281F" w:rsidP="00BD281F">
            <w:pPr>
              <w:pStyle w:val="ListBullet"/>
            </w:pPr>
            <w:r w:rsidRPr="00BD281F">
              <w:t xml:space="preserve">relevant and appropriate materials, tools, equipment and personal protective equipment (PPE) currently used in industry </w:t>
            </w:r>
          </w:p>
          <w:p w:rsidR="00000000" w:rsidRPr="00BD281F" w:rsidP="00BD281F">
            <w:pPr>
              <w:pStyle w:val="ListBullet"/>
            </w:pPr>
            <w:r w:rsidRPr="00BD281F">
              <w:t>applicable documentation, including workpl</w:t>
            </w:r>
            <w:r w:rsidRPr="00BD281F">
              <w:t>ace procedures, equipment specifications, regulations, codes of practice and operation manuals.</w:t>
            </w:r>
          </w:p>
        </w:tc>
      </w:tr>
    </w:tbl>
    <w:p w:rsidR="00000000" w:rsidRPr="00BD281F" w:rsidP="00BD281F">
      <w:pPr>
        <w:pStyle w:val="NoPaddingFontSize1"/>
      </w:pPr>
    </w:p>
    <w:p w:rsidR="00000000" w:rsidRPr="00BD281F" w:rsidP="00BD281F">
      <w:pPr>
        <w:pStyle w:val="AllowPageBreak"/>
      </w:pPr>
    </w:p>
    <w:p w:rsidR="00000000" w:rsidRPr="00BD281F" w:rsidP="00BD281F">
      <w:pPr>
        <w:pStyle w:val="Heading1"/>
      </w:pPr>
      <w:bookmarkStart w:id="5" w:name="O_1082532"/>
      <w:bookmarkEnd w:id="5"/>
      <w:r w:rsidRPr="00BD281F">
        <w:t>Links</w:t>
      </w:r>
    </w:p>
    <w:p w:rsidR="00000000" w:rsidRPr="00BD281F" w:rsidP="00053C29">
      <w:pPr>
        <w:pStyle w:val="BodyText"/>
      </w:pPr>
      <w:r w:rsidRPr="00BD281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A7030">
        <w:rPr>
          <w:rStyle w:val="Hyperlink"/>
        </w:rPr>
        <w:t>https://vetnet.gov.au/Pages/TrainingDocs.aspx?q=b8a8f136-5421-4ce1-92e0-2b50341431b6</w:t>
      </w:r>
      <w:r>
        <w:fldChar w:fldCharType="end"/>
      </w:r>
    </w:p>
    <w:p w:rsidR="00000000" w:rsidRPr="00BD281F" w:rsidP="00BD281F"/>
    <w:sectPr w:rsidSect="00BD28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8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81F" w:rsidRPr="00053C29" w:rsidP="00053C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8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C29" w:rsidP="00BD28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3C29" w:rsidP="00BD281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053C29" w:rsidP="00BD28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8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C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281F" w:rsidRPr="00053C29" w:rsidP="00053C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8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C29" w:rsidRPr="002D2AF8" w:rsidP="00BD281F">
    <w:pPr>
      <w:pStyle w:val="Header"/>
      <w:framePr w:wrap="around"/>
    </w:pPr>
    <w:r>
      <w:fldChar w:fldCharType="begin"/>
    </w:r>
    <w:r>
      <w:instrText xml:space="preserve"> TITLE   \* MERGEFORMAT </w:instrText>
    </w:r>
    <w:r>
      <w:fldChar w:fldCharType="separate"/>
    </w:r>
    <w:r>
      <w:t>Assessment Requirements for UEEIC0020 Fault find and repair analogue circuits and components in electronic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053C29" w:rsidP="00BD28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5CF6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12C5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0CE6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8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281F"/>
    <w:pPr>
      <w:spacing w:before="360" w:after="60"/>
      <w:outlineLvl w:val="0"/>
    </w:pPr>
    <w:rPr>
      <w:sz w:val="32"/>
    </w:rPr>
  </w:style>
  <w:style w:type="paragraph" w:styleId="Heading2">
    <w:name w:val="heading 2"/>
    <w:basedOn w:val="HeadingBase"/>
    <w:next w:val="BodyText"/>
    <w:link w:val="Heading2Char"/>
    <w:qFormat/>
    <w:rsid w:val="00BD281F"/>
    <w:pPr>
      <w:keepLines/>
      <w:spacing w:before="240" w:after="120"/>
      <w:outlineLvl w:val="1"/>
    </w:pPr>
    <w:rPr>
      <w:sz w:val="28"/>
      <w:szCs w:val="40"/>
    </w:rPr>
  </w:style>
  <w:style w:type="paragraph" w:styleId="Heading3">
    <w:name w:val="heading 3"/>
    <w:basedOn w:val="HeadingBase"/>
    <w:next w:val="BodyText"/>
    <w:link w:val="Heading3Char"/>
    <w:qFormat/>
    <w:rsid w:val="00BD281F"/>
    <w:pPr>
      <w:spacing w:before="180" w:after="120"/>
      <w:outlineLvl w:val="2"/>
    </w:pPr>
    <w:rPr>
      <w:spacing w:val="-10"/>
      <w:kern w:val="32"/>
    </w:rPr>
  </w:style>
  <w:style w:type="paragraph" w:styleId="Heading4">
    <w:name w:val="heading 4"/>
    <w:basedOn w:val="HeadingBase"/>
    <w:next w:val="BodyText"/>
    <w:link w:val="Heading4Char"/>
    <w:qFormat/>
    <w:rsid w:val="00BD281F"/>
    <w:pPr>
      <w:spacing w:before="160" w:after="120"/>
      <w:outlineLvl w:val="3"/>
    </w:pPr>
    <w:rPr>
      <w:sz w:val="22"/>
    </w:rPr>
  </w:style>
  <w:style w:type="paragraph" w:styleId="Heading5">
    <w:name w:val="heading 5"/>
    <w:basedOn w:val="HeadingBase"/>
    <w:next w:val="Normal"/>
    <w:link w:val="Heading5Char"/>
    <w:qFormat/>
    <w:rsid w:val="00BD281F"/>
    <w:pPr>
      <w:spacing w:before="80"/>
      <w:outlineLvl w:val="4"/>
    </w:pPr>
    <w:rPr>
      <w:color w:val="918585"/>
      <w:sz w:val="20"/>
    </w:rPr>
  </w:style>
  <w:style w:type="paragraph" w:styleId="Heading6">
    <w:name w:val="heading 6"/>
    <w:basedOn w:val="HeadingBase"/>
    <w:next w:val="Normal"/>
    <w:link w:val="Heading6Char"/>
    <w:qFormat/>
    <w:rsid w:val="00BD281F"/>
    <w:pPr>
      <w:spacing w:before="60"/>
      <w:outlineLvl w:val="5"/>
    </w:pPr>
    <w:rPr>
      <w:color w:val="918585"/>
      <w:sz w:val="20"/>
    </w:rPr>
  </w:style>
  <w:style w:type="paragraph" w:styleId="Heading7">
    <w:name w:val="heading 7"/>
    <w:basedOn w:val="Normal"/>
    <w:next w:val="Normal"/>
    <w:link w:val="Heading7Char"/>
    <w:qFormat/>
    <w:rsid w:val="00BD281F"/>
    <w:pPr>
      <w:ind w:left="720"/>
      <w:outlineLvl w:val="6"/>
    </w:pPr>
    <w:rPr>
      <w:i/>
    </w:rPr>
  </w:style>
  <w:style w:type="paragraph" w:styleId="Heading8">
    <w:name w:val="heading 8"/>
    <w:basedOn w:val="Normal"/>
    <w:next w:val="Normal"/>
    <w:link w:val="Heading8Char"/>
    <w:qFormat/>
    <w:rsid w:val="00BD281F"/>
    <w:pPr>
      <w:ind w:left="720"/>
      <w:outlineLvl w:val="7"/>
    </w:pPr>
    <w:rPr>
      <w:i/>
    </w:rPr>
  </w:style>
  <w:style w:type="paragraph" w:styleId="Heading9">
    <w:name w:val="heading 9"/>
    <w:basedOn w:val="Normal"/>
    <w:next w:val="Normal"/>
    <w:link w:val="Heading9Char"/>
    <w:qFormat/>
    <w:rsid w:val="00BD281F"/>
    <w:pPr>
      <w:ind w:left="720"/>
      <w:outlineLvl w:val="8"/>
    </w:pPr>
    <w:rPr>
      <w:i/>
    </w:rPr>
  </w:style>
  <w:style w:type="character" w:default="1" w:styleId="DefaultParagraphFont">
    <w:name w:val="Default Paragraph Font"/>
    <w:uiPriority w:val="1"/>
    <w:unhideWhenUsed/>
    <w:rsid w:val="00BD28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281F"/>
  </w:style>
  <w:style w:type="character" w:customStyle="1" w:styleId="Heading1Char">
    <w:name w:val="Heading 1 Char"/>
    <w:basedOn w:val="DefaultParagraphFont"/>
    <w:link w:val="Heading1"/>
    <w:rsid w:val="00BD281F"/>
    <w:rPr>
      <w:rFonts w:ascii="Times New Roman" w:eastAsia="Times New Roman" w:hAnsi="Times New Roman" w:cs="Times New Roman"/>
      <w:b/>
      <w:sz w:val="32"/>
      <w:szCs w:val="20"/>
      <w:lang w:eastAsia="en-US"/>
    </w:rPr>
  </w:style>
  <w:style w:type="paragraph" w:styleId="BodyText">
    <w:name w:val="Body Text"/>
    <w:basedOn w:val="Normal"/>
    <w:link w:val="BodyTextChar"/>
    <w:rsid w:val="00BD28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281F"/>
    <w:rPr>
      <w:rFonts w:ascii="Times New Roman" w:eastAsia="Times New Roman" w:hAnsi="Times New Roman" w:cs="Times New Roman"/>
      <w:sz w:val="24"/>
      <w:lang w:eastAsia="en-US"/>
    </w:rPr>
  </w:style>
  <w:style w:type="paragraph" w:styleId="ListBullet">
    <w:name w:val="List Bullet"/>
    <w:basedOn w:val="List"/>
    <w:rsid w:val="00BD281F"/>
    <w:pPr>
      <w:numPr>
        <w:numId w:val="13"/>
      </w:numPr>
      <w:tabs>
        <w:tab w:val="clear" w:pos="340"/>
      </w:tabs>
      <w:spacing w:before="40" w:after="40"/>
    </w:pPr>
  </w:style>
  <w:style w:type="paragraph" w:styleId="ListBullet2">
    <w:name w:val="List Bullet 2"/>
    <w:basedOn w:val="List2"/>
    <w:rsid w:val="00BD281F"/>
    <w:pPr>
      <w:numPr>
        <w:numId w:val="14"/>
      </w:numPr>
      <w:tabs>
        <w:tab w:val="clear" w:pos="680"/>
      </w:tabs>
    </w:pPr>
  </w:style>
  <w:style w:type="paragraph" w:customStyle="1" w:styleId="SuperHeading">
    <w:name w:val="SuperHeading"/>
    <w:basedOn w:val="Normal"/>
    <w:rsid w:val="00BD281F"/>
    <w:pPr>
      <w:spacing w:before="240" w:after="120"/>
      <w:outlineLvl w:val="0"/>
    </w:pPr>
    <w:rPr>
      <w:rFonts w:ascii="Times New Roman" w:hAnsi="Times New Roman"/>
      <w:b/>
      <w:sz w:val="32"/>
    </w:rPr>
  </w:style>
  <w:style w:type="paragraph" w:customStyle="1" w:styleId="AllowPageBreak">
    <w:name w:val="AllowPageBreak"/>
    <w:rsid w:val="00BD281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D281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28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28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28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28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28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28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28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281F"/>
    <w:rPr>
      <w:rFonts w:ascii="Courier New" w:eastAsia="Times New Roman" w:hAnsi="Courier New" w:cs="Times New Roman"/>
      <w:i/>
      <w:szCs w:val="20"/>
      <w:lang w:eastAsia="en-US"/>
    </w:rPr>
  </w:style>
  <w:style w:type="paragraph" w:customStyle="1" w:styleId="HeadingBase">
    <w:name w:val="Heading Base"/>
    <w:rsid w:val="00BD28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281F"/>
    <w:pPr>
      <w:tabs>
        <w:tab w:val="right" w:leader="dot" w:pos="9072"/>
      </w:tabs>
      <w:ind w:left="567"/>
    </w:pPr>
    <w:rPr>
      <w:szCs w:val="22"/>
    </w:rPr>
  </w:style>
  <w:style w:type="paragraph" w:customStyle="1" w:styleId="TOCBase">
    <w:name w:val="TOC Base"/>
    <w:rsid w:val="00BD28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281F"/>
    <w:pPr>
      <w:tabs>
        <w:tab w:val="right" w:leader="dot" w:pos="9072"/>
      </w:tabs>
      <w:spacing w:before="40" w:after="40"/>
      <w:ind w:left="284"/>
    </w:pPr>
    <w:rPr>
      <w:rFonts w:ascii="Times New Roman" w:hAnsi="Times New Roman"/>
    </w:rPr>
  </w:style>
  <w:style w:type="paragraph" w:styleId="TOC1">
    <w:name w:val="toc 1"/>
    <w:basedOn w:val="TOCBase"/>
    <w:next w:val="Normal"/>
    <w:rsid w:val="00BD28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28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281F"/>
    <w:rPr>
      <w:rFonts w:ascii="Times New Roman" w:eastAsia="Times New Roman" w:hAnsi="Times New Roman" w:cs="Times New Roman"/>
      <w:sz w:val="16"/>
      <w:lang w:eastAsia="en-US"/>
    </w:rPr>
  </w:style>
  <w:style w:type="paragraph" w:styleId="Title">
    <w:name w:val="Title"/>
    <w:basedOn w:val="HeadingBase"/>
    <w:link w:val="TitleChar"/>
    <w:qFormat/>
    <w:rsid w:val="00BD281F"/>
    <w:pPr>
      <w:spacing w:before="5040"/>
      <w:jc w:val="center"/>
    </w:pPr>
    <w:rPr>
      <w:sz w:val="48"/>
      <w:szCs w:val="72"/>
      <w:lang w:val="en-US"/>
    </w:rPr>
  </w:style>
  <w:style w:type="character" w:customStyle="1" w:styleId="TitleChar">
    <w:name w:val="Title Char"/>
    <w:basedOn w:val="DefaultParagraphFont"/>
    <w:link w:val="Title"/>
    <w:rsid w:val="00BD28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281F"/>
    <w:pPr>
      <w:tabs>
        <w:tab w:val="left" w:pos="3600"/>
        <w:tab w:val="left" w:pos="3958"/>
      </w:tabs>
    </w:pPr>
  </w:style>
  <w:style w:type="paragraph" w:styleId="List">
    <w:name w:val="List"/>
    <w:basedOn w:val="BodyText"/>
    <w:next w:val="BodyText"/>
    <w:rsid w:val="00BD281F"/>
    <w:pPr>
      <w:tabs>
        <w:tab w:val="left" w:pos="340"/>
      </w:tabs>
      <w:spacing w:before="60" w:after="60"/>
      <w:ind w:left="340" w:hanging="340"/>
    </w:pPr>
  </w:style>
  <w:style w:type="paragraph" w:customStyle="1" w:styleId="Note">
    <w:name w:val="Note"/>
    <w:basedOn w:val="BodyText"/>
    <w:rsid w:val="00BD28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281F"/>
    <w:rPr>
      <w:b/>
      <w:spacing w:val="0"/>
    </w:rPr>
  </w:style>
  <w:style w:type="paragraph" w:customStyle="1" w:styleId="SuperTitle">
    <w:name w:val="SuperTitle"/>
    <w:basedOn w:val="Title"/>
    <w:rsid w:val="00BD281F"/>
    <w:pPr>
      <w:framePr w:wrap="auto" w:hAnchor="text" w:y="6049"/>
    </w:pPr>
    <w:rPr>
      <w:color w:val="000000"/>
      <w:sz w:val="40"/>
    </w:rPr>
  </w:style>
  <w:style w:type="paragraph" w:customStyle="1" w:styleId="TOCTitle">
    <w:name w:val="TOCTitle"/>
    <w:basedOn w:val="Heading1"/>
    <w:rsid w:val="00BD281F"/>
    <w:pPr>
      <w:spacing w:after="240"/>
      <w:jc w:val="center"/>
      <w:outlineLvl w:val="9"/>
    </w:pPr>
    <w:rPr>
      <w:caps/>
    </w:rPr>
  </w:style>
  <w:style w:type="paragraph" w:customStyle="1" w:styleId="Version">
    <w:name w:val="Version"/>
    <w:rsid w:val="00BD28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281F"/>
    <w:pPr>
      <w:keepNext w:val="0"/>
      <w:tabs>
        <w:tab w:val="right" w:pos="4176"/>
      </w:tabs>
      <w:ind w:left="198" w:hanging="198"/>
    </w:pPr>
    <w:rPr>
      <w:rFonts w:ascii="Garamond" w:hAnsi="Garamond"/>
    </w:rPr>
  </w:style>
  <w:style w:type="paragraph" w:styleId="IndexHeading">
    <w:name w:val="index heading"/>
    <w:basedOn w:val="Normal"/>
    <w:next w:val="Index1"/>
    <w:semiHidden/>
    <w:rsid w:val="00BD281F"/>
    <w:pPr>
      <w:spacing w:before="120" w:after="120"/>
    </w:pPr>
    <w:rPr>
      <w:rFonts w:ascii="Arial" w:hAnsi="Arial"/>
      <w:b/>
      <w:color w:val="918585"/>
      <w:sz w:val="24"/>
    </w:rPr>
  </w:style>
  <w:style w:type="paragraph" w:styleId="Header">
    <w:name w:val="header"/>
    <w:basedOn w:val="Normal"/>
    <w:link w:val="HeaderChar"/>
    <w:rsid w:val="00BD28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281F"/>
    <w:rPr>
      <w:rFonts w:ascii="Times New Roman" w:eastAsia="Times New Roman" w:hAnsi="Times New Roman" w:cs="Times New Roman"/>
      <w:sz w:val="16"/>
      <w:szCs w:val="20"/>
      <w:lang w:val="en-GB" w:eastAsia="en-US"/>
    </w:rPr>
  </w:style>
  <w:style w:type="paragraph" w:customStyle="1" w:styleId="Chapter">
    <w:name w:val="Chapter"/>
    <w:basedOn w:val="Normal"/>
    <w:rsid w:val="00BD281F"/>
    <w:pPr>
      <w:spacing w:before="240"/>
    </w:pPr>
    <w:rPr>
      <w:rFonts w:ascii="Times New Roman" w:hAnsi="Times New Roman"/>
      <w:smallCaps/>
      <w:spacing w:val="80"/>
      <w:sz w:val="28"/>
    </w:rPr>
  </w:style>
  <w:style w:type="paragraph" w:customStyle="1" w:styleId="InChapter">
    <w:name w:val="InChapter"/>
    <w:basedOn w:val="Heading3"/>
    <w:rsid w:val="00BD281F"/>
    <w:pPr>
      <w:spacing w:after="240"/>
      <w:outlineLvl w:val="9"/>
    </w:pPr>
    <w:rPr>
      <w:noProof/>
    </w:rPr>
  </w:style>
  <w:style w:type="paragraph" w:styleId="Index2">
    <w:name w:val="index 2"/>
    <w:basedOn w:val="Normal"/>
    <w:next w:val="Normal"/>
    <w:semiHidden/>
    <w:rsid w:val="00BD281F"/>
    <w:pPr>
      <w:tabs>
        <w:tab w:val="right" w:pos="4176"/>
      </w:tabs>
      <w:ind w:left="568" w:hanging="284"/>
    </w:pPr>
    <w:rPr>
      <w:rFonts w:ascii="Garamond" w:hAnsi="Garamond"/>
    </w:rPr>
  </w:style>
  <w:style w:type="paragraph" w:customStyle="1" w:styleId="Byline">
    <w:name w:val="Byline"/>
    <w:rsid w:val="00BD28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281F"/>
    <w:pPr>
      <w:tabs>
        <w:tab w:val="clear" w:pos="3600"/>
        <w:tab w:val="clear" w:pos="3958"/>
      </w:tabs>
      <w:jc w:val="right"/>
    </w:pPr>
  </w:style>
  <w:style w:type="character" w:styleId="Emphasis">
    <w:name w:val="Emphasis"/>
    <w:basedOn w:val="DefaultParagraphFont"/>
    <w:qFormat/>
    <w:rsid w:val="00BD281F"/>
    <w:rPr>
      <w:i/>
    </w:rPr>
  </w:style>
  <w:style w:type="paragraph" w:styleId="Caption">
    <w:name w:val="caption"/>
    <w:basedOn w:val="BodyText"/>
    <w:next w:val="Normal"/>
    <w:qFormat/>
    <w:rsid w:val="00BD281F"/>
    <w:pPr>
      <w:framePr w:w="2268" w:hSpace="181" w:vSpace="181" w:wrap="around" w:vAnchor="text" w:hAnchor="page" w:x="1135" w:y="285" w:anchorLock="1"/>
    </w:pPr>
    <w:rPr>
      <w:i/>
    </w:rPr>
  </w:style>
  <w:style w:type="paragraph" w:customStyle="1" w:styleId="MiniTOCTitle">
    <w:name w:val="MiniTOCTitle"/>
    <w:basedOn w:val="Heading4"/>
    <w:rsid w:val="00BD281F"/>
    <w:pPr>
      <w:spacing w:before="240"/>
      <w:outlineLvl w:val="9"/>
    </w:pPr>
    <w:rPr>
      <w:noProof/>
      <w:sz w:val="24"/>
    </w:rPr>
  </w:style>
  <w:style w:type="paragraph" w:customStyle="1" w:styleId="MiniTOCItem">
    <w:name w:val="MiniTOCItem"/>
    <w:basedOn w:val="ListBullet"/>
    <w:rsid w:val="00BD281F"/>
    <w:pPr>
      <w:numPr>
        <w:numId w:val="0"/>
      </w:numPr>
      <w:tabs>
        <w:tab w:val="right" w:leader="dot" w:pos="6521"/>
      </w:tabs>
      <w:spacing w:before="0" w:after="0"/>
    </w:pPr>
  </w:style>
  <w:style w:type="paragraph" w:customStyle="1" w:styleId="TOFTitle">
    <w:name w:val="TOFTitle"/>
    <w:basedOn w:val="TOCTitle"/>
    <w:rsid w:val="00BD281F"/>
  </w:style>
  <w:style w:type="paragraph" w:styleId="TableofFigures">
    <w:name w:val="table of figures"/>
    <w:basedOn w:val="Normal"/>
    <w:next w:val="Normal"/>
    <w:semiHidden/>
    <w:rsid w:val="00BD281F"/>
    <w:pPr>
      <w:tabs>
        <w:tab w:val="right" w:leader="dot" w:pos="9072"/>
      </w:tabs>
      <w:ind w:left="970" w:hanging="403"/>
    </w:pPr>
    <w:rPr>
      <w:rFonts w:ascii="Times New Roman" w:hAnsi="Times New Roman"/>
      <w:b/>
    </w:rPr>
  </w:style>
  <w:style w:type="paragraph" w:styleId="ListNumber">
    <w:name w:val="List Number"/>
    <w:basedOn w:val="List"/>
    <w:rsid w:val="00BD281F"/>
    <w:pPr>
      <w:numPr>
        <w:numId w:val="16"/>
      </w:numPr>
      <w:tabs>
        <w:tab w:val="clear" w:pos="340"/>
      </w:tabs>
    </w:pPr>
  </w:style>
  <w:style w:type="character" w:customStyle="1" w:styleId="WingdingSymbols">
    <w:name w:val="Wingding Symbols"/>
    <w:rsid w:val="00BD281F"/>
    <w:rPr>
      <w:rFonts w:ascii="Wingdings" w:hAnsi="Wingdings"/>
    </w:rPr>
  </w:style>
  <w:style w:type="paragraph" w:customStyle="1" w:styleId="TableHeading">
    <w:name w:val="Table Heading"/>
    <w:basedOn w:val="HeadingBase"/>
    <w:rsid w:val="00BD281F"/>
    <w:pPr>
      <w:keepLines/>
      <w:pBdr>
        <w:bottom w:val="single" w:sz="6" w:space="1" w:color="918585"/>
      </w:pBdr>
      <w:spacing w:before="240"/>
    </w:pPr>
  </w:style>
  <w:style w:type="character" w:customStyle="1" w:styleId="HotSpot">
    <w:name w:val="HotSpot"/>
    <w:rsid w:val="00BD281F"/>
    <w:rPr>
      <w:color w:val="0033CC"/>
      <w:u w:val="none"/>
    </w:rPr>
  </w:style>
  <w:style w:type="paragraph" w:customStyle="1" w:styleId="BodyTextRight">
    <w:name w:val="Body Text Right"/>
    <w:basedOn w:val="BodyText"/>
    <w:rsid w:val="00BD281F"/>
    <w:pPr>
      <w:spacing w:before="0" w:after="0"/>
      <w:jc w:val="right"/>
    </w:pPr>
  </w:style>
  <w:style w:type="paragraph" w:styleId="Index3">
    <w:name w:val="index 3"/>
    <w:basedOn w:val="ListNumber2"/>
    <w:next w:val="Normal"/>
    <w:semiHidden/>
    <w:rsid w:val="00BD281F"/>
    <w:pPr>
      <w:numPr>
        <w:numId w:val="0"/>
      </w:numPr>
      <w:tabs>
        <w:tab w:val="right" w:leader="dot" w:pos="4176"/>
      </w:tabs>
    </w:pPr>
  </w:style>
  <w:style w:type="paragraph" w:styleId="ListNumber2">
    <w:name w:val="List Number 2"/>
    <w:basedOn w:val="List2"/>
    <w:rsid w:val="00BD281F"/>
    <w:pPr>
      <w:numPr>
        <w:numId w:val="11"/>
      </w:numPr>
      <w:tabs>
        <w:tab w:val="clear" w:pos="1060"/>
      </w:tabs>
    </w:pPr>
  </w:style>
  <w:style w:type="paragraph" w:customStyle="1" w:styleId="MarginNote">
    <w:name w:val="Margin Note"/>
    <w:basedOn w:val="BodyText"/>
    <w:rsid w:val="00BD28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28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28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281F"/>
    <w:rPr>
      <w:sz w:val="32"/>
    </w:rPr>
  </w:style>
  <w:style w:type="paragraph" w:customStyle="1" w:styleId="HeadingProcedure">
    <w:name w:val="Heading Procedure"/>
    <w:basedOn w:val="HeadingBase"/>
    <w:next w:val="Normal"/>
    <w:rsid w:val="00BD281F"/>
    <w:pPr>
      <w:tabs>
        <w:tab w:val="left" w:pos="0"/>
      </w:tabs>
      <w:spacing w:before="120" w:after="60"/>
    </w:pPr>
    <w:rPr>
      <w:i/>
      <w:color w:val="918585"/>
      <w:sz w:val="22"/>
    </w:rPr>
  </w:style>
  <w:style w:type="paragraph" w:customStyle="1" w:styleId="TableBodyText">
    <w:name w:val="Table Body Text"/>
    <w:basedOn w:val="BodyText"/>
    <w:rsid w:val="00BD281F"/>
    <w:pPr>
      <w:spacing w:before="60" w:after="60"/>
    </w:pPr>
  </w:style>
  <w:style w:type="paragraph" w:styleId="ListContinue">
    <w:name w:val="List Continue"/>
    <w:basedOn w:val="List"/>
    <w:rsid w:val="00BD281F"/>
    <w:pPr>
      <w:ind w:firstLine="0"/>
    </w:pPr>
  </w:style>
  <w:style w:type="paragraph" w:customStyle="1" w:styleId="ListNote">
    <w:name w:val="List Note"/>
    <w:basedOn w:val="List"/>
    <w:rsid w:val="00BD281F"/>
    <w:pPr>
      <w:pBdr>
        <w:top w:val="single" w:sz="6" w:space="2" w:color="918585"/>
        <w:bottom w:val="single" w:sz="6" w:space="2" w:color="918585"/>
      </w:pBdr>
      <w:tabs>
        <w:tab w:val="left" w:pos="1021"/>
      </w:tabs>
      <w:ind w:firstLine="0"/>
    </w:pPr>
  </w:style>
  <w:style w:type="paragraph" w:customStyle="1" w:styleId="Warning">
    <w:name w:val="Warning"/>
    <w:basedOn w:val="BodyText"/>
    <w:rsid w:val="00BD281F"/>
    <w:pPr>
      <w:shd w:val="clear" w:color="auto" w:fill="D9D9D9"/>
      <w:tabs>
        <w:tab w:val="left" w:pos="992"/>
      </w:tabs>
      <w:ind w:left="119" w:right="119"/>
    </w:pPr>
    <w:rPr>
      <w:sz w:val="20"/>
    </w:rPr>
  </w:style>
  <w:style w:type="paragraph" w:customStyle="1" w:styleId="MarginIcons">
    <w:name w:val="Margin Icons"/>
    <w:basedOn w:val="BodyText"/>
    <w:rsid w:val="00BD28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281F"/>
    <w:rPr>
      <w:rFonts w:ascii="Courier New" w:hAnsi="Courier New"/>
    </w:rPr>
  </w:style>
  <w:style w:type="paragraph" w:customStyle="1" w:styleId="NoteBullet">
    <w:name w:val="Note Bullet"/>
    <w:basedOn w:val="Note"/>
    <w:rsid w:val="00BD281F"/>
    <w:pPr>
      <w:tabs>
        <w:tab w:val="clear" w:pos="680"/>
      </w:tabs>
      <w:spacing w:before="60" w:after="60"/>
    </w:pPr>
  </w:style>
  <w:style w:type="paragraph" w:customStyle="1" w:styleId="SubHeading2">
    <w:name w:val="SubHeading2"/>
    <w:basedOn w:val="HeadingBase"/>
    <w:rsid w:val="00BD281F"/>
    <w:pPr>
      <w:spacing w:before="240" w:after="60"/>
    </w:pPr>
    <w:rPr>
      <w:sz w:val="20"/>
    </w:rPr>
  </w:style>
  <w:style w:type="paragraph" w:customStyle="1" w:styleId="SubHeading1">
    <w:name w:val="SubHeading1"/>
    <w:basedOn w:val="HeadingBase"/>
    <w:rsid w:val="00BD281F"/>
    <w:pPr>
      <w:spacing w:before="240" w:after="60"/>
    </w:pPr>
    <w:rPr>
      <w:color w:val="918585"/>
      <w:sz w:val="22"/>
    </w:rPr>
  </w:style>
  <w:style w:type="paragraph" w:customStyle="1" w:styleId="SideHeading">
    <w:name w:val="Side Heading"/>
    <w:basedOn w:val="HeadingBase"/>
    <w:rsid w:val="00BD28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281F"/>
    <w:pPr>
      <w:numPr>
        <w:numId w:val="12"/>
      </w:numPr>
    </w:pPr>
  </w:style>
  <w:style w:type="paragraph" w:styleId="PlainText">
    <w:name w:val="Plain Text"/>
    <w:basedOn w:val="Normal"/>
    <w:link w:val="PlainTextChar"/>
    <w:rsid w:val="00BD281F"/>
    <w:rPr>
      <w:sz w:val="20"/>
    </w:rPr>
  </w:style>
  <w:style w:type="character" w:customStyle="1" w:styleId="PlainTextChar">
    <w:name w:val="Plain Text Char"/>
    <w:basedOn w:val="DefaultParagraphFont"/>
    <w:link w:val="PlainText"/>
    <w:rsid w:val="00BD281F"/>
    <w:rPr>
      <w:rFonts w:ascii="Courier New" w:eastAsia="Times New Roman" w:hAnsi="Courier New" w:cs="Times New Roman"/>
      <w:sz w:val="20"/>
      <w:szCs w:val="20"/>
      <w:lang w:eastAsia="en-US"/>
    </w:rPr>
  </w:style>
  <w:style w:type="character" w:customStyle="1" w:styleId="MenuOption">
    <w:name w:val="Menu Option"/>
    <w:basedOn w:val="DefaultParagraphFont"/>
    <w:rsid w:val="00BD281F"/>
    <w:rPr>
      <w:b/>
      <w:smallCaps/>
    </w:rPr>
  </w:style>
  <w:style w:type="paragraph" w:customStyle="1" w:styleId="TableListNumber">
    <w:name w:val="Table List Number"/>
    <w:basedOn w:val="ListNumber"/>
    <w:rsid w:val="00BD281F"/>
    <w:pPr>
      <w:numPr>
        <w:numId w:val="0"/>
      </w:numPr>
    </w:pPr>
  </w:style>
  <w:style w:type="paragraph" w:styleId="TOC4">
    <w:name w:val="toc 4"/>
    <w:basedOn w:val="TOCBase"/>
    <w:next w:val="Normal"/>
    <w:semiHidden/>
    <w:rsid w:val="00BD281F"/>
    <w:pPr>
      <w:tabs>
        <w:tab w:val="right" w:leader="dot" w:pos="9071"/>
      </w:tabs>
      <w:ind w:left="1701"/>
    </w:pPr>
  </w:style>
  <w:style w:type="paragraph" w:customStyle="1" w:styleId="ListAlpha">
    <w:name w:val="List Alpha"/>
    <w:basedOn w:val="List"/>
    <w:rsid w:val="00BD281F"/>
    <w:pPr>
      <w:numPr>
        <w:numId w:val="10"/>
      </w:numPr>
    </w:pPr>
  </w:style>
  <w:style w:type="paragraph" w:customStyle="1" w:styleId="ListAlpha2">
    <w:name w:val="List Alpha 2"/>
    <w:basedOn w:val="List2"/>
    <w:rsid w:val="00BD281F"/>
    <w:pPr>
      <w:numPr>
        <w:numId w:val="9"/>
      </w:numPr>
    </w:pPr>
  </w:style>
  <w:style w:type="paragraph" w:styleId="List2">
    <w:name w:val="List 2"/>
    <w:basedOn w:val="BodyText"/>
    <w:rsid w:val="00BD281F"/>
    <w:pPr>
      <w:tabs>
        <w:tab w:val="left" w:pos="680"/>
      </w:tabs>
      <w:spacing w:before="60" w:after="60"/>
      <w:ind w:left="680" w:hanging="340"/>
    </w:pPr>
  </w:style>
  <w:style w:type="paragraph" w:styleId="List3">
    <w:name w:val="List 3"/>
    <w:basedOn w:val="BodyText"/>
    <w:rsid w:val="00BD281F"/>
    <w:pPr>
      <w:tabs>
        <w:tab w:val="left" w:pos="1021"/>
      </w:tabs>
      <w:spacing w:before="60" w:after="60"/>
      <w:ind w:left="1020" w:hanging="340"/>
    </w:pPr>
  </w:style>
  <w:style w:type="paragraph" w:styleId="List4">
    <w:name w:val="List 4"/>
    <w:basedOn w:val="BodyText"/>
    <w:rsid w:val="00BD281F"/>
    <w:pPr>
      <w:tabs>
        <w:tab w:val="left" w:pos="1361"/>
      </w:tabs>
      <w:spacing w:before="60" w:after="60"/>
      <w:ind w:left="1361" w:hanging="340"/>
    </w:pPr>
  </w:style>
  <w:style w:type="paragraph" w:styleId="List5">
    <w:name w:val="List 5"/>
    <w:basedOn w:val="BodyText"/>
    <w:rsid w:val="00BD281F"/>
    <w:pPr>
      <w:tabs>
        <w:tab w:val="left" w:pos="1701"/>
      </w:tabs>
      <w:spacing w:before="60" w:after="60"/>
      <w:ind w:left="1701" w:hanging="340"/>
    </w:pPr>
  </w:style>
  <w:style w:type="paragraph" w:styleId="ListBullet4">
    <w:name w:val="List Bullet 4"/>
    <w:basedOn w:val="List4"/>
    <w:rsid w:val="00BD281F"/>
    <w:pPr>
      <w:numPr>
        <w:numId w:val="4"/>
      </w:numPr>
      <w:tabs>
        <w:tab w:val="clear" w:pos="1361"/>
      </w:tabs>
    </w:pPr>
  </w:style>
  <w:style w:type="paragraph" w:styleId="ListBullet5">
    <w:name w:val="List Bullet 5"/>
    <w:basedOn w:val="List5"/>
    <w:rsid w:val="00BD281F"/>
    <w:pPr>
      <w:numPr>
        <w:numId w:val="5"/>
      </w:numPr>
    </w:pPr>
  </w:style>
  <w:style w:type="paragraph" w:styleId="ListContinue2">
    <w:name w:val="List Continue 2"/>
    <w:basedOn w:val="List2"/>
    <w:rsid w:val="00BD281F"/>
    <w:pPr>
      <w:ind w:firstLine="0"/>
    </w:pPr>
  </w:style>
  <w:style w:type="paragraph" w:styleId="ListContinue3">
    <w:name w:val="List Continue 3"/>
    <w:basedOn w:val="List3"/>
    <w:rsid w:val="00BD281F"/>
    <w:pPr>
      <w:ind w:left="1021" w:firstLine="0"/>
    </w:pPr>
  </w:style>
  <w:style w:type="paragraph" w:styleId="ListContinue4">
    <w:name w:val="List Continue 4"/>
    <w:basedOn w:val="List4"/>
    <w:rsid w:val="00BD281F"/>
    <w:pPr>
      <w:ind w:firstLine="0"/>
    </w:pPr>
  </w:style>
  <w:style w:type="paragraph" w:styleId="ListContinue5">
    <w:name w:val="List Continue 5"/>
    <w:basedOn w:val="List5"/>
    <w:rsid w:val="00BD281F"/>
    <w:pPr>
      <w:ind w:firstLine="0"/>
    </w:pPr>
  </w:style>
  <w:style w:type="paragraph" w:styleId="ListNumber3">
    <w:name w:val="List Number 3"/>
    <w:basedOn w:val="List3"/>
    <w:rsid w:val="00BD281F"/>
    <w:pPr>
      <w:numPr>
        <w:numId w:val="6"/>
      </w:numPr>
    </w:pPr>
  </w:style>
  <w:style w:type="paragraph" w:styleId="ListNumber4">
    <w:name w:val="List Number 4"/>
    <w:basedOn w:val="List4"/>
    <w:rsid w:val="00BD281F"/>
    <w:pPr>
      <w:numPr>
        <w:numId w:val="7"/>
      </w:numPr>
    </w:pPr>
  </w:style>
  <w:style w:type="paragraph" w:styleId="ListNumber5">
    <w:name w:val="List Number 5"/>
    <w:basedOn w:val="List5"/>
    <w:rsid w:val="00BD281F"/>
    <w:pPr>
      <w:numPr>
        <w:numId w:val="8"/>
      </w:numPr>
    </w:pPr>
  </w:style>
  <w:style w:type="paragraph" w:styleId="BlockText">
    <w:name w:val="Block Text"/>
    <w:basedOn w:val="Normal"/>
    <w:rsid w:val="00BD281F"/>
    <w:pPr>
      <w:spacing w:after="120"/>
      <w:ind w:left="1440" w:right="1440"/>
    </w:pPr>
  </w:style>
  <w:style w:type="character" w:customStyle="1" w:styleId="Subscript">
    <w:name w:val="Subscript"/>
    <w:basedOn w:val="DefaultParagraphFont"/>
    <w:rsid w:val="00BD281F"/>
    <w:rPr>
      <w:sz w:val="16"/>
      <w:vertAlign w:val="subscript"/>
    </w:rPr>
  </w:style>
  <w:style w:type="character" w:customStyle="1" w:styleId="Superscript">
    <w:name w:val="Superscript"/>
    <w:basedOn w:val="DefaultParagraphFont"/>
    <w:rsid w:val="00BD281F"/>
    <w:rPr>
      <w:sz w:val="16"/>
      <w:vertAlign w:val="superscript"/>
    </w:rPr>
  </w:style>
  <w:style w:type="character" w:customStyle="1" w:styleId="Symbols">
    <w:name w:val="Symbols"/>
    <w:basedOn w:val="DefaultParagraphFont"/>
    <w:rsid w:val="00BD281F"/>
    <w:rPr>
      <w:rFonts w:ascii="Symbol" w:hAnsi="Symbol"/>
    </w:rPr>
  </w:style>
  <w:style w:type="character" w:customStyle="1" w:styleId="MenuOptions">
    <w:name w:val="Menu Options"/>
    <w:basedOn w:val="DefaultParagraphFont"/>
    <w:rsid w:val="00BD281F"/>
    <w:rPr>
      <w:rFonts w:ascii="Arial Narrow" w:hAnsi="Arial Narrow"/>
      <w:smallCaps/>
    </w:rPr>
  </w:style>
  <w:style w:type="character" w:customStyle="1" w:styleId="Buttons">
    <w:name w:val="Buttons"/>
    <w:basedOn w:val="DefaultParagraphFont"/>
    <w:rsid w:val="00BD281F"/>
    <w:rPr>
      <w:b/>
    </w:rPr>
  </w:style>
  <w:style w:type="character" w:customStyle="1" w:styleId="Underlined">
    <w:name w:val="Underlined"/>
    <w:basedOn w:val="DefaultParagraphFont"/>
    <w:rsid w:val="00BD281F"/>
    <w:rPr>
      <w:u w:val="single"/>
    </w:rPr>
  </w:style>
  <w:style w:type="paragraph" w:customStyle="1" w:styleId="TableBodyTextRight">
    <w:name w:val="Table Body Text Right"/>
    <w:basedOn w:val="TableBodyText"/>
    <w:rsid w:val="00BD281F"/>
    <w:pPr>
      <w:widowControl w:val="0"/>
      <w:autoSpaceDE w:val="0"/>
      <w:autoSpaceDN w:val="0"/>
      <w:adjustRightInd w:val="0"/>
      <w:jc w:val="right"/>
    </w:pPr>
    <w:rPr>
      <w:rFonts w:cs="Arial"/>
      <w:szCs w:val="18"/>
    </w:rPr>
  </w:style>
  <w:style w:type="paragraph" w:customStyle="1" w:styleId="CopyrightText">
    <w:name w:val="Copyright Text"/>
    <w:basedOn w:val="BodyText"/>
    <w:rsid w:val="00BD281F"/>
    <w:rPr>
      <w:sz w:val="18"/>
    </w:rPr>
  </w:style>
  <w:style w:type="paragraph" w:customStyle="1" w:styleId="BodySmallRight">
    <w:name w:val="Body Small Right"/>
    <w:basedOn w:val="BodyTextRight"/>
    <w:rsid w:val="00BD281F"/>
    <w:rPr>
      <w:sz w:val="18"/>
      <w:szCs w:val="18"/>
    </w:rPr>
  </w:style>
  <w:style w:type="paragraph" w:customStyle="1" w:styleId="MarginEdition">
    <w:name w:val="Margin Edition"/>
    <w:basedOn w:val="MarginNote"/>
    <w:rsid w:val="00BD281F"/>
    <w:pPr>
      <w:spacing w:before="0" w:after="0"/>
    </w:pPr>
    <w:rPr>
      <w:rFonts w:ascii="Times New Roman" w:hAnsi="Times New Roman"/>
      <w:color w:val="999999"/>
    </w:rPr>
  </w:style>
  <w:style w:type="paragraph" w:customStyle="1" w:styleId="Spacer">
    <w:name w:val="Spacer"/>
    <w:basedOn w:val="Normal"/>
    <w:rsid w:val="00BD281F"/>
    <w:rPr>
      <w:sz w:val="2"/>
      <w:szCs w:val="2"/>
    </w:rPr>
  </w:style>
  <w:style w:type="character" w:customStyle="1" w:styleId="Small">
    <w:name w:val="Small"/>
    <w:basedOn w:val="DefaultParagraphFont"/>
    <w:rsid w:val="00BD281F"/>
    <w:rPr>
      <w:sz w:val="16"/>
    </w:rPr>
  </w:style>
  <w:style w:type="paragraph" w:customStyle="1" w:styleId="WideTable">
    <w:name w:val="Wide Table"/>
    <w:basedOn w:val="Normal"/>
    <w:rsid w:val="00BD281F"/>
    <w:pPr>
      <w:ind w:left="-1418"/>
    </w:pPr>
    <w:rPr>
      <w:sz w:val="2"/>
      <w:szCs w:val="2"/>
    </w:rPr>
  </w:style>
  <w:style w:type="character" w:styleId="PageNumber">
    <w:name w:val="page number"/>
    <w:basedOn w:val="DefaultParagraphFont"/>
    <w:rsid w:val="00BD281F"/>
  </w:style>
  <w:style w:type="paragraph" w:styleId="Quote">
    <w:name w:val="Quote"/>
    <w:basedOn w:val="Heading1"/>
    <w:link w:val="QuoteChar"/>
    <w:qFormat/>
    <w:rsid w:val="00BD281F"/>
    <w:rPr>
      <w:b w:val="0"/>
      <w:sz w:val="72"/>
      <w:szCs w:val="72"/>
      <w:lang w:val="en-NZ"/>
    </w:rPr>
  </w:style>
  <w:style w:type="character" w:customStyle="1" w:styleId="QuoteChar">
    <w:name w:val="Quote Char"/>
    <w:basedOn w:val="DefaultParagraphFont"/>
    <w:link w:val="Quote"/>
    <w:rsid w:val="00BD28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281F"/>
    <w:pPr>
      <w:pageBreakBefore/>
    </w:pPr>
  </w:style>
  <w:style w:type="paragraph" w:customStyle="1" w:styleId="Border">
    <w:name w:val="Border"/>
    <w:basedOn w:val="Normal"/>
    <w:qFormat/>
    <w:rsid w:val="00BD28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281F"/>
    <w:rPr>
      <w:b/>
      <w:bCs/>
      <w:i/>
      <w:iCs/>
      <w:color w:val="auto"/>
    </w:rPr>
  </w:style>
  <w:style w:type="paragraph" w:styleId="IntenseQuote">
    <w:name w:val="Intense Quote"/>
    <w:basedOn w:val="Normal"/>
    <w:next w:val="Normal"/>
    <w:link w:val="IntenseQuoteChar"/>
    <w:uiPriority w:val="30"/>
    <w:qFormat/>
    <w:rsid w:val="00BD28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28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281F"/>
    <w:rPr>
      <w:smallCaps/>
      <w:color w:val="auto"/>
      <w:u w:val="single"/>
    </w:rPr>
  </w:style>
  <w:style w:type="character" w:styleId="IntenseReference">
    <w:name w:val="Intense Reference"/>
    <w:basedOn w:val="DefaultParagraphFont"/>
    <w:uiPriority w:val="32"/>
    <w:qFormat/>
    <w:rsid w:val="00BD281F"/>
    <w:rPr>
      <w:b/>
      <w:bCs/>
      <w:smallCaps/>
      <w:color w:val="auto"/>
      <w:spacing w:val="5"/>
      <w:u w:val="single"/>
    </w:rPr>
  </w:style>
  <w:style w:type="paragraph" w:customStyle="1" w:styleId="2ColumnHeading">
    <w:name w:val="2Column Heading"/>
    <w:basedOn w:val="BodyText"/>
    <w:qFormat/>
    <w:rsid w:val="00BD281F"/>
    <w:pPr>
      <w:spacing w:after="60"/>
      <w:ind w:left="-2268"/>
    </w:pPr>
    <w:rPr>
      <w:b/>
    </w:rPr>
  </w:style>
  <w:style w:type="paragraph" w:customStyle="1" w:styleId="Heading1TOC">
    <w:name w:val="Heading1 TOC"/>
    <w:basedOn w:val="Normal"/>
    <w:qFormat/>
    <w:rsid w:val="00BD281F"/>
    <w:pPr>
      <w:spacing w:before="240" w:after="120"/>
    </w:pPr>
    <w:rPr>
      <w:rFonts w:ascii="Times New Roman" w:hAnsi="Times New Roman"/>
      <w:b/>
      <w:sz w:val="32"/>
    </w:rPr>
  </w:style>
  <w:style w:type="paragraph" w:customStyle="1" w:styleId="Heading2TOC">
    <w:name w:val="Heading2 TOC"/>
    <w:basedOn w:val="Normal"/>
    <w:qFormat/>
    <w:rsid w:val="00BD281F"/>
    <w:pPr>
      <w:spacing w:before="240" w:after="60"/>
    </w:pPr>
    <w:rPr>
      <w:rFonts w:ascii="Times New Roman" w:hAnsi="Times New Roman"/>
      <w:b/>
      <w:sz w:val="28"/>
    </w:rPr>
  </w:style>
  <w:style w:type="character" w:customStyle="1" w:styleId="Underline">
    <w:name w:val="Underline"/>
    <w:basedOn w:val="DefaultParagraphFont"/>
    <w:qFormat/>
    <w:rsid w:val="00BD281F"/>
    <w:rPr>
      <w:u w:val="single"/>
    </w:rPr>
  </w:style>
  <w:style w:type="character" w:customStyle="1" w:styleId="BoldandItalics">
    <w:name w:val="Bold and Italics"/>
    <w:qFormat/>
    <w:rsid w:val="00BD281F"/>
    <w:rPr>
      <w:b/>
      <w:i/>
      <w:u w:val="none"/>
    </w:rPr>
  </w:style>
  <w:style w:type="paragraph" w:styleId="BalloonText">
    <w:name w:val="Balloon Text"/>
    <w:basedOn w:val="Normal"/>
    <w:link w:val="BalloonTextChar"/>
    <w:rsid w:val="00BD281F"/>
    <w:rPr>
      <w:rFonts w:ascii="Tahoma" w:hAnsi="Tahoma" w:cs="Tahoma"/>
      <w:sz w:val="16"/>
      <w:szCs w:val="16"/>
    </w:rPr>
  </w:style>
  <w:style w:type="character" w:customStyle="1" w:styleId="BalloonTextChar">
    <w:name w:val="Balloon Text Char"/>
    <w:basedOn w:val="DefaultParagraphFont"/>
    <w:link w:val="BalloonText"/>
    <w:rsid w:val="00BD28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28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28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281F"/>
    <w:rPr>
      <w:b/>
      <w:color w:val="660033"/>
      <w:spacing w:val="0"/>
    </w:rPr>
  </w:style>
  <w:style w:type="paragraph" w:customStyle="1" w:styleId="Nameditemlist">
    <w:name w:val="Named item list"/>
    <w:basedOn w:val="BodyText"/>
    <w:qFormat/>
    <w:rsid w:val="00BD281F"/>
    <w:pPr>
      <w:tabs>
        <w:tab w:val="left" w:pos="2835"/>
      </w:tabs>
      <w:ind w:left="2835" w:hanging="2835"/>
    </w:pPr>
  </w:style>
  <w:style w:type="paragraph" w:customStyle="1" w:styleId="BodyTextnopadding">
    <w:name w:val="Body Text no padding"/>
    <w:basedOn w:val="BodyText"/>
    <w:qFormat/>
    <w:rsid w:val="00BD281F"/>
    <w:pPr>
      <w:spacing w:before="0" w:after="0"/>
    </w:pPr>
  </w:style>
  <w:style w:type="paragraph" w:customStyle="1" w:styleId="BodyTextBold">
    <w:name w:val="Body Text Bold"/>
    <w:basedOn w:val="BodyText"/>
    <w:qFormat/>
    <w:rsid w:val="00BD281F"/>
    <w:rPr>
      <w:b/>
    </w:rPr>
  </w:style>
  <w:style w:type="character" w:styleId="Hyperlink">
    <w:name w:val="Hyperlink"/>
    <w:basedOn w:val="DefaultParagraphFont"/>
    <w:uiPriority w:val="99"/>
    <w:unhideWhenUsed/>
    <w:rsid w:val="00053C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698</Words>
  <Characters>5007</Characters>
  <Application>Microsoft Office Word</Application>
  <DocSecurity>0</DocSecurity>
  <Lines>139</Lines>
  <Paragraphs>118</Paragraphs>
  <ScaleCrop>false</ScaleCrop>
  <Company>Author-it Software Corporation Ltd.</Company>
  <LinksUpToDate>false</LinksUpToDate>
  <CharactersWithSpaces>5587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UEEIC0020 Fault find and repair analogue circuits and components in electronic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2024-11-29T00:49:00Z</dcterms:created>
  <dcterms:modified xsi:type="dcterms:W3CDTF">2024-11-29T00:49:00Z</dcterms:modified>
</cp:coreProperties>
</file>