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798" w:rsidP="00304798">
      <w:pPr>
        <w:pStyle w:val="Title"/>
      </w:pPr>
      <w:r>
        <w:fldChar w:fldCharType="begin"/>
      </w:r>
      <w:r>
        <w:instrText xml:space="preserve"> TITLE   \* MERGEFORMAT </w:instrText>
      </w:r>
      <w:r>
        <w:fldChar w:fldCharType="separate"/>
      </w:r>
      <w:r>
        <w:t>Assessment Requirements for UEEHA0038 Conduct visual and close inspection of electrical installations for hazardous areas</w:t>
      </w:r>
      <w:r>
        <w:fldChar w:fldCharType="end"/>
      </w:r>
    </w:p>
    <w:p w:rsidR="00304798" w:rsidP="00304798">
      <w:pPr>
        <w:pStyle w:val="Version"/>
        <w:sectPr w:rsidSect="00C34A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A2F" w:rsidP="00C34A2F">
      <w:pPr>
        <w:pStyle w:val="SuperHeading"/>
      </w:pPr>
      <w:r w:rsidRPr="00C34A2F">
        <w:t>Assessment Requirements for UEEHA0038 Conduct visual and close inspection of electrical installations for hazardous areas</w:t>
      </w:r>
    </w:p>
    <w:p w:rsidR="00000000" w:rsidRPr="00C34A2F" w:rsidP="00C34A2F">
      <w:pPr>
        <w:pStyle w:val="Heading1"/>
      </w:pPr>
      <w:bookmarkStart w:id="1" w:name="O_1243219"/>
      <w:bookmarkEnd w:id="1"/>
      <w:r w:rsidRPr="00C34A2F">
        <w:t>Modification History</w:t>
      </w:r>
    </w:p>
    <w:tbl>
      <w:tblPr>
        <w:tblW w:w="9497" w:type="dxa"/>
        <w:tblLayout w:type="fixed"/>
        <w:tblCellMar>
          <w:left w:w="62" w:type="dxa"/>
          <w:right w:w="62" w:type="dxa"/>
        </w:tblCellMar>
        <w:tblLook w:val="0000"/>
      </w:tblPr>
      <w:tblGrid>
        <w:gridCol w:w="9497"/>
      </w:tblGrid>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2F" w:rsidP="00C34A2F">
            <w:pPr>
              <w:pStyle w:val="BodyText"/>
            </w:pPr>
            <w:r w:rsidRPr="00C34A2F">
              <w:t>Release 1. This is the first release of this unit of competency in the UEE Electrotechnology Training Package.</w:t>
            </w:r>
          </w:p>
          <w:p w:rsidR="00000000" w:rsidRPr="00C34A2F" w:rsidP="00C34A2F">
            <w:pPr>
              <w:pStyle w:val="BodyText"/>
            </w:pPr>
            <w:r w:rsidRPr="00C34A2F">
              <w:t>This unit replaces and is equivalent to UEEHA0002 Conduct visual and close inspection of electrical installations for hazardous areas.</w:t>
            </w:r>
          </w:p>
          <w:p w:rsidR="00000000" w:rsidRPr="00C34A2F" w:rsidP="00C34A2F">
            <w:pPr>
              <w:pStyle w:val="BodyText"/>
            </w:pPr>
            <w:r w:rsidRPr="00C34A2F">
              <w:t>Prerequisi</w:t>
            </w:r>
            <w:r w:rsidRPr="00C34A2F">
              <w:t>te requirements have been amended.</w:t>
            </w:r>
          </w:p>
        </w:tc>
      </w:tr>
    </w:tbl>
    <w:p w:rsidR="00000000" w:rsidRPr="00C34A2F" w:rsidP="00C34A2F">
      <w:pPr>
        <w:pStyle w:val="NoPaddingFontSize1"/>
      </w:pPr>
    </w:p>
    <w:p w:rsidR="00000000" w:rsidRPr="00C34A2F" w:rsidP="00C34A2F">
      <w:pPr>
        <w:pStyle w:val="AllowPageBreak"/>
      </w:pPr>
    </w:p>
    <w:p w:rsidR="00000000" w:rsidRPr="00C34A2F" w:rsidP="00C34A2F">
      <w:pPr>
        <w:pStyle w:val="Heading1"/>
      </w:pPr>
      <w:bookmarkStart w:id="2" w:name="O_1243220"/>
      <w:bookmarkEnd w:id="2"/>
      <w:r w:rsidRPr="00C34A2F">
        <w:t>Performance Evidence</w:t>
      </w:r>
    </w:p>
    <w:tbl>
      <w:tblPr>
        <w:tblW w:w="9497" w:type="dxa"/>
        <w:tblLayout w:type="fixed"/>
        <w:tblCellMar>
          <w:left w:w="62" w:type="dxa"/>
          <w:right w:w="62" w:type="dxa"/>
        </w:tblCellMar>
        <w:tblLook w:val="0000"/>
      </w:tblPr>
      <w:tblGrid>
        <w:gridCol w:w="9497"/>
      </w:tblGrid>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A2F">
            <w:pPr>
              <w:pStyle w:val="BodyText"/>
              <w:rPr>
                <w:lang w:val="en-NZ"/>
              </w:rPr>
            </w:pPr>
            <w:r w:rsidRPr="00C34A2F">
              <w:t xml:space="preserve">Evidence required to demonstrate competence in this unit must be relevant to and satisfy all of the requirements of the elements and performance criteria on at least two separate </w:t>
            </w:r>
            <w:r w:rsidRPr="00C34A2F">
              <w:t xml:space="preserve">occasions and include: </w:t>
            </w:r>
          </w:p>
        </w:tc>
      </w:tr>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2F" w:rsidP="00C34A2F">
            <w:pPr>
              <w:pStyle w:val="ListBullet"/>
            </w:pPr>
            <w:r w:rsidRPr="00C34A2F">
              <w:t>preparing to conduct a visual and close inspection of electrical installations for gas and dust hazardous areas, including:</w:t>
            </w:r>
          </w:p>
          <w:p w:rsidR="00000000" w:rsidRPr="00C34A2F" w:rsidP="00C34A2F">
            <w:pPr>
              <w:pStyle w:val="ListBullet2"/>
            </w:pPr>
            <w:r w:rsidRPr="00C34A2F">
              <w:t>reviewing safe work methods associated with the classified area in which the work is to be carried out</w:t>
            </w:r>
          </w:p>
          <w:p w:rsidR="00000000" w:rsidRPr="00C34A2F" w:rsidP="00C34A2F">
            <w:pPr>
              <w:pStyle w:val="ListBullet2"/>
            </w:pPr>
            <w:r w:rsidRPr="00C34A2F">
              <w:t>determining the type and location of equipment subject to the inspection</w:t>
            </w:r>
          </w:p>
          <w:p w:rsidR="00000000" w:rsidRPr="00C34A2F" w:rsidP="00C34A2F">
            <w:pPr>
              <w:pStyle w:val="ListBullet"/>
            </w:pPr>
            <w:r w:rsidRPr="00C34A2F">
              <w:t>conducting visual and close inspections of electrical installations in gas and dust hazardous areas, including:</w:t>
            </w:r>
          </w:p>
          <w:p w:rsidR="00000000" w:rsidRPr="00C34A2F" w:rsidP="00C34A2F">
            <w:pPr>
              <w:pStyle w:val="ListBullet2"/>
            </w:pPr>
            <w:r w:rsidRPr="00C34A2F">
              <w:t>obtaining interpreting and applying safe work methods</w:t>
            </w:r>
          </w:p>
          <w:p w:rsidR="00000000" w:rsidRPr="00C34A2F" w:rsidP="00C34A2F">
            <w:pPr>
              <w:pStyle w:val="ListBullet2"/>
            </w:pPr>
            <w:r w:rsidRPr="00C34A2F">
              <w:t>identifying def</w:t>
            </w:r>
            <w:r w:rsidRPr="00C34A2F">
              <w:t>ects impairing the integrity of the type of protection</w:t>
            </w:r>
          </w:p>
          <w:p w:rsidR="00000000" w:rsidRPr="00C34A2F" w:rsidP="00C34A2F">
            <w:pPr>
              <w:pStyle w:val="ListBullet"/>
            </w:pPr>
            <w:r w:rsidRPr="00C34A2F">
              <w:t>completing record of visual and close inspections of electrical installations in gas and dust hazardous areas, including:</w:t>
            </w:r>
          </w:p>
          <w:p w:rsidR="00000000" w:rsidRPr="00C34A2F" w:rsidP="00C34A2F">
            <w:pPr>
              <w:pStyle w:val="ListBullet2"/>
            </w:pPr>
            <w:r w:rsidRPr="00C34A2F">
              <w:t>recording defects identified in the inspection impairing the integrity of the</w:t>
            </w:r>
            <w:r w:rsidRPr="00C34A2F">
              <w:t xml:space="preserve"> type of protection</w:t>
            </w:r>
          </w:p>
          <w:p w:rsidR="00000000" w:rsidRPr="00C34A2F" w:rsidP="00C34A2F">
            <w:pPr>
              <w:pStyle w:val="ListBullet2"/>
            </w:pPr>
            <w:r w:rsidRPr="00C34A2F">
              <w:t>forwarding the inspection record for inclusion in the verification dossier.</w:t>
            </w:r>
          </w:p>
        </w:tc>
      </w:tr>
    </w:tbl>
    <w:p w:rsidR="00000000" w:rsidRPr="00C34A2F" w:rsidP="00C34A2F">
      <w:pPr>
        <w:pStyle w:val="NoPaddingFontSize1"/>
      </w:pPr>
    </w:p>
    <w:p w:rsidR="00000000" w:rsidRPr="00C34A2F" w:rsidP="00C34A2F">
      <w:pPr>
        <w:pStyle w:val="AllowPageBreak"/>
      </w:pPr>
    </w:p>
    <w:p w:rsidR="00000000" w:rsidRPr="00C34A2F" w:rsidP="00C34A2F">
      <w:pPr>
        <w:pStyle w:val="Heading1"/>
      </w:pPr>
      <w:bookmarkStart w:id="3" w:name="O_1243221"/>
      <w:bookmarkEnd w:id="3"/>
      <w:r w:rsidRPr="00C34A2F">
        <w:t>Knowledge Evidence</w:t>
      </w:r>
    </w:p>
    <w:tbl>
      <w:tblPr>
        <w:tblW w:w="9497" w:type="dxa"/>
        <w:tblLayout w:type="fixed"/>
        <w:tblCellMar>
          <w:left w:w="62" w:type="dxa"/>
          <w:right w:w="62" w:type="dxa"/>
        </w:tblCellMar>
        <w:tblLook w:val="0000"/>
      </w:tblPr>
      <w:tblGrid>
        <w:gridCol w:w="9497"/>
      </w:tblGrid>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A2F">
            <w:pPr>
              <w:pStyle w:val="BodyText"/>
              <w:rPr>
                <w:lang w:val="en-NZ"/>
              </w:rPr>
            </w:pPr>
            <w:r w:rsidRPr="00C34A2F">
              <w:t xml:space="preserve">Evidence required to demonstrate competence in this unit must be relevant to and satisfy all of the requirements of the elements, performance criteria and range of conditions and include knowledge of: </w:t>
            </w:r>
          </w:p>
        </w:tc>
      </w:tr>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2F" w:rsidP="00C34A2F">
            <w:pPr>
              <w:pStyle w:val="ListBullet"/>
            </w:pPr>
            <w:r w:rsidRPr="00C34A2F">
              <w:t>purpose, scope and limitations of visual and close i</w:t>
            </w:r>
            <w:r w:rsidRPr="00C34A2F">
              <w:t>nspections, including:</w:t>
            </w:r>
          </w:p>
          <w:p w:rsidR="00000000" w:rsidRPr="00C34A2F" w:rsidP="00C34A2F">
            <w:pPr>
              <w:pStyle w:val="ListBullet2"/>
            </w:pPr>
            <w:r w:rsidRPr="00C34A2F">
              <w:t>inspection program for the site based on schedules specified in inspection standards</w:t>
            </w:r>
          </w:p>
          <w:p w:rsidR="00000000" w:rsidRPr="00C34A2F" w:rsidP="00C34A2F">
            <w:pPr>
              <w:pStyle w:val="ListBullet2"/>
            </w:pPr>
            <w:r w:rsidRPr="00C34A2F">
              <w:t>periodic inspection schedules covering equipment, installations and environment for:</w:t>
            </w:r>
          </w:p>
          <w:p w:rsidR="00000000" w:rsidRPr="00C34A2F" w:rsidP="00C34A2F">
            <w:pPr>
              <w:pStyle w:val="ListBullet3"/>
            </w:pPr>
            <w:r w:rsidRPr="00C34A2F">
              <w:t>flameproof - Ex ‘d’</w:t>
            </w:r>
          </w:p>
          <w:p w:rsidR="00000000" w:rsidRPr="00C34A2F" w:rsidP="00C34A2F">
            <w:pPr>
              <w:pStyle w:val="ListBullet3"/>
            </w:pPr>
            <w:r w:rsidRPr="00C34A2F">
              <w:t xml:space="preserve">increased safety - Ex ‘e’ </w:t>
            </w:r>
          </w:p>
          <w:p w:rsidR="00000000" w:rsidRPr="00C34A2F" w:rsidP="00C34A2F">
            <w:pPr>
              <w:pStyle w:val="ListBullet3"/>
            </w:pPr>
            <w:r w:rsidRPr="00C34A2F">
              <w:t xml:space="preserve">non-sparking - Ex ‘n’ </w:t>
            </w:r>
          </w:p>
          <w:p w:rsidR="00000000" w:rsidRPr="00C34A2F" w:rsidP="00C34A2F">
            <w:pPr>
              <w:pStyle w:val="ListBullet3"/>
            </w:pPr>
            <w:r w:rsidRPr="00C34A2F">
              <w:t>intrinsic safety - Ex ‘i’</w:t>
            </w:r>
          </w:p>
          <w:p w:rsidR="00000000" w:rsidRPr="00C34A2F" w:rsidP="00C34A2F">
            <w:pPr>
              <w:pStyle w:val="ListBullet3"/>
            </w:pPr>
            <w:r w:rsidRPr="00C34A2F">
              <w:t xml:space="preserve">intrinsic safety - Ex ‘iD’ </w:t>
            </w:r>
          </w:p>
          <w:p w:rsidR="00000000" w:rsidRPr="00C34A2F" w:rsidP="00C34A2F">
            <w:pPr>
              <w:pStyle w:val="ListBullet3"/>
            </w:pPr>
            <w:r w:rsidRPr="00C34A2F">
              <w:t xml:space="preserve">non-sparking - Ex ‘nL’ </w:t>
            </w:r>
          </w:p>
          <w:p w:rsidR="00000000" w:rsidRPr="00C34A2F" w:rsidP="00C34A2F">
            <w:pPr>
              <w:pStyle w:val="ListBullet3"/>
            </w:pPr>
            <w:r w:rsidRPr="00C34A2F">
              <w:t xml:space="preserve">pressurisation - Ex ‘p’ </w:t>
            </w:r>
          </w:p>
          <w:p w:rsidR="00000000" w:rsidRPr="00C34A2F" w:rsidP="00C34A2F">
            <w:pPr>
              <w:pStyle w:val="ListBullet3"/>
            </w:pPr>
            <w:r w:rsidRPr="00C34A2F">
              <w:t>pressurisation - Ex ‘pD’</w:t>
            </w:r>
          </w:p>
          <w:p w:rsidR="00000000" w:rsidRPr="00C34A2F" w:rsidP="00C34A2F">
            <w:pPr>
              <w:pStyle w:val="ListBullet3"/>
            </w:pPr>
            <w:r w:rsidRPr="00C34A2F">
              <w:t>protection by enclosure - Ex ‘tD’</w:t>
            </w:r>
          </w:p>
          <w:p w:rsidR="00000000" w:rsidRPr="00C34A2F" w:rsidP="00C34A2F">
            <w:pPr>
              <w:pStyle w:val="ListBullet"/>
            </w:pPr>
            <w:r w:rsidRPr="00C34A2F">
              <w:t>aspects of close and visual inspections, including:</w:t>
            </w:r>
          </w:p>
          <w:p w:rsidR="00000000" w:rsidRPr="00C34A2F" w:rsidP="00C34A2F">
            <w:pPr>
              <w:pStyle w:val="ListBullet2"/>
            </w:pPr>
            <w:r w:rsidRPr="00C34A2F">
              <w:t>items subject to visual and close inspection listed in schedules specified in inspection standards</w:t>
            </w:r>
          </w:p>
          <w:p w:rsidR="00000000" w:rsidRPr="00C34A2F" w:rsidP="00C34A2F">
            <w:pPr>
              <w:pStyle w:val="ListBullet2"/>
            </w:pPr>
            <w:r w:rsidRPr="00C34A2F">
              <w:t>defects impairing the integrity of the type of protection that can be identified by visual and close inspection, including:</w:t>
            </w:r>
          </w:p>
          <w:p w:rsidR="00000000" w:rsidRPr="00C34A2F" w:rsidP="00C34A2F">
            <w:pPr>
              <w:pStyle w:val="ListBullet3"/>
            </w:pPr>
            <w:r w:rsidRPr="00C34A2F">
              <w:t>excessive corrosion</w:t>
            </w:r>
          </w:p>
          <w:p w:rsidR="00000000" w:rsidRPr="00C34A2F" w:rsidP="00C34A2F">
            <w:pPr>
              <w:pStyle w:val="ListBullet3"/>
            </w:pPr>
            <w:r w:rsidRPr="00C34A2F">
              <w:t>missing cove</w:t>
            </w:r>
            <w:r w:rsidRPr="00C34A2F">
              <w:t>r and mounting bolts</w:t>
            </w:r>
          </w:p>
          <w:p w:rsidR="00000000" w:rsidRPr="00C34A2F" w:rsidP="00C34A2F">
            <w:pPr>
              <w:pStyle w:val="ListBullet3"/>
            </w:pPr>
            <w:r w:rsidRPr="00C34A2F">
              <w:t>enclosure or cable damage</w:t>
            </w:r>
          </w:p>
          <w:p w:rsidR="00000000" w:rsidRPr="00C34A2F" w:rsidP="00C34A2F">
            <w:pPr>
              <w:pStyle w:val="ListBullet3"/>
            </w:pPr>
            <w:r w:rsidRPr="00C34A2F">
              <w:t>non-secured cables</w:t>
            </w:r>
          </w:p>
          <w:p w:rsidR="00000000" w:rsidRPr="00C34A2F" w:rsidP="00C34A2F">
            <w:pPr>
              <w:pStyle w:val="ListBullet3"/>
            </w:pPr>
            <w:r w:rsidRPr="00C34A2F">
              <w:t>exposed armouring/cable cores at glanding points</w:t>
            </w:r>
          </w:p>
          <w:p w:rsidR="00000000" w:rsidRPr="00C34A2F" w:rsidP="00C34A2F">
            <w:pPr>
              <w:pStyle w:val="ListBullet3"/>
            </w:pPr>
            <w:r w:rsidRPr="00C34A2F">
              <w:t>missing or illegible labels.</w:t>
            </w:r>
          </w:p>
        </w:tc>
      </w:tr>
    </w:tbl>
    <w:p w:rsidR="00000000" w:rsidRPr="00C34A2F" w:rsidP="00C34A2F">
      <w:pPr>
        <w:pStyle w:val="NoPaddingFontSize1"/>
      </w:pPr>
    </w:p>
    <w:p w:rsidR="00000000" w:rsidRPr="00C34A2F" w:rsidP="00C34A2F">
      <w:pPr>
        <w:pStyle w:val="AllowPageBreak"/>
      </w:pPr>
    </w:p>
    <w:p w:rsidR="00000000" w:rsidRPr="00C34A2F" w:rsidP="00C34A2F">
      <w:pPr>
        <w:pStyle w:val="Heading1"/>
      </w:pPr>
      <w:bookmarkStart w:id="4" w:name="O_1243222"/>
      <w:bookmarkEnd w:id="4"/>
      <w:r w:rsidRPr="00C34A2F">
        <w:t>Assessment Conditions</w:t>
      </w:r>
    </w:p>
    <w:tbl>
      <w:tblPr>
        <w:tblW w:w="9497" w:type="dxa"/>
        <w:tblLayout w:type="fixed"/>
        <w:tblCellMar>
          <w:left w:w="62" w:type="dxa"/>
          <w:right w:w="62" w:type="dxa"/>
        </w:tblCellMar>
        <w:tblLook w:val="0000"/>
      </w:tblPr>
      <w:tblGrid>
        <w:gridCol w:w="9497"/>
      </w:tblGrid>
      <w:tr w:rsidTr="00C34A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2F" w:rsidP="00C34A2F">
            <w:pPr>
              <w:pStyle w:val="BodyText"/>
            </w:pPr>
            <w:r w:rsidRPr="00C34A2F">
              <w:t xml:space="preserve">Assessors must hold credentials specified within the Standards for Registered Training Organisations current at the time of assessment. </w:t>
            </w:r>
          </w:p>
          <w:p w:rsidR="00000000" w:rsidRPr="00C34A2F" w:rsidP="00C34A2F">
            <w:pPr>
              <w:pStyle w:val="BodyText"/>
            </w:pPr>
            <w:r w:rsidRPr="00C34A2F">
              <w:t>Assessment must satisfy the Principles of Assessment and Rules of Evidence and all regulatory requirements included wit</w:t>
            </w:r>
            <w:r w:rsidRPr="00C34A2F">
              <w:t>hin the Standards for Registered Training Organisations current at the time of assessment.</w:t>
            </w:r>
          </w:p>
          <w:p w:rsidR="00000000" w:rsidRPr="00C34A2F" w:rsidP="00C34A2F">
            <w:pPr>
              <w:pStyle w:val="BodyText"/>
            </w:pPr>
            <w:r w:rsidRPr="00C34A2F">
              <w:t>Assessment must occur in workplace operational situations where it is appropriate to do so; where this is not appropriate, assessment must occur in simulated workpla</w:t>
            </w:r>
            <w:r w:rsidRPr="00C34A2F">
              <w:t xml:space="preserve">ce operational situations that replicate workplace conditions. </w:t>
            </w:r>
          </w:p>
          <w:p w:rsidR="00000000" w:rsidRPr="00C34A2F" w:rsidP="00C34A2F">
            <w:pPr>
              <w:pStyle w:val="BodyText"/>
            </w:pPr>
            <w:r w:rsidRPr="00C34A2F">
              <w:t>Where evidence is gathered from a simulated work environment, the environment shall be arranged to include the following:</w:t>
            </w:r>
          </w:p>
          <w:p w:rsidR="00000000" w:rsidRPr="00C34A2F" w:rsidP="00C34A2F">
            <w:pPr>
              <w:pStyle w:val="ListBullet"/>
            </w:pPr>
            <w:r w:rsidRPr="00C34A2F">
              <w:t>an area designated as an explosive atmosphere area which is a close f</w:t>
            </w:r>
            <w:r w:rsidRPr="00C34A2F">
              <w:t>acsimile of a real work environment</w:t>
            </w:r>
          </w:p>
          <w:p w:rsidR="00000000" w:rsidRPr="00C34A2F" w:rsidP="00C34A2F">
            <w:pPr>
              <w:pStyle w:val="ListBullet"/>
            </w:pPr>
            <w:r w:rsidRPr="00C34A2F">
              <w:t>an area entry point</w:t>
            </w:r>
          </w:p>
          <w:p w:rsidR="00000000" w:rsidRPr="00C34A2F" w:rsidP="00C34A2F">
            <w:pPr>
              <w:pStyle w:val="ListBullet"/>
            </w:pPr>
            <w:r w:rsidRPr="00C34A2F">
              <w:t>delineation of the area into zones for both gas and dust</w:t>
            </w:r>
          </w:p>
          <w:p w:rsidR="00000000" w:rsidRPr="00C34A2F" w:rsidP="00C34A2F">
            <w:pPr>
              <w:pStyle w:val="ListBullet"/>
            </w:pPr>
            <w:r w:rsidRPr="00C34A2F">
              <w:t>a person to act as the ‘authorised person’ for the site</w:t>
            </w:r>
          </w:p>
          <w:p w:rsidR="00000000" w:rsidRPr="00C34A2F" w:rsidP="00C34A2F">
            <w:pPr>
              <w:pStyle w:val="ListBullet"/>
            </w:pPr>
            <w:r w:rsidRPr="00C34A2F">
              <w:t>a qualified supervisor</w:t>
            </w:r>
          </w:p>
          <w:p w:rsidR="00000000" w:rsidRPr="00C34A2F" w:rsidP="00C34A2F">
            <w:pPr>
              <w:pStyle w:val="BodyText"/>
            </w:pPr>
            <w:r w:rsidRPr="00C34A2F">
              <w:t>Assessment processes and techniques must be appropriate to the language, literacy and numeracy requirements of the work being performed and the needs of the candidate.</w:t>
            </w:r>
          </w:p>
          <w:p w:rsidR="00000000" w:rsidRPr="00C34A2F" w:rsidP="00C34A2F">
            <w:pPr>
              <w:pStyle w:val="BodyText"/>
            </w:pPr>
            <w:r w:rsidRPr="00C34A2F">
              <w:t>Resources for assessment must include access to:</w:t>
            </w:r>
          </w:p>
          <w:p w:rsidR="00000000" w:rsidRPr="00C34A2F" w:rsidP="00C34A2F">
            <w:pPr>
              <w:pStyle w:val="ListBullet"/>
            </w:pPr>
            <w:r w:rsidRPr="00C34A2F">
              <w:t>a range of relevant exercises, case st</w:t>
            </w:r>
            <w:r w:rsidRPr="00C34A2F">
              <w:t>udies and/or other simulations</w:t>
            </w:r>
          </w:p>
          <w:p w:rsidR="00000000" w:rsidRPr="00C34A2F" w:rsidP="00C34A2F">
            <w:pPr>
              <w:pStyle w:val="ListBullet"/>
            </w:pPr>
            <w:r w:rsidRPr="00C34A2F">
              <w:t>relevant and appropriate tools and testing devices and personal protective equipment (PPE) currently used in industry</w:t>
            </w:r>
          </w:p>
          <w:p w:rsidR="00000000" w:rsidRPr="00C34A2F" w:rsidP="00C34A2F">
            <w:pPr>
              <w:pStyle w:val="ListBullet"/>
            </w:pPr>
            <w:r w:rsidRPr="00C34A2F">
              <w:t>safe work methods</w:t>
            </w:r>
          </w:p>
          <w:p w:rsidR="00000000" w:rsidRPr="00C34A2F" w:rsidP="00C34A2F">
            <w:pPr>
              <w:pStyle w:val="ListBullet"/>
            </w:pPr>
            <w:r w:rsidRPr="00C34A2F">
              <w:t>site inspection schedule</w:t>
            </w:r>
          </w:p>
          <w:p w:rsidR="00000000" w:rsidRPr="00C34A2F" w:rsidP="00C34A2F">
            <w:pPr>
              <w:pStyle w:val="ListBullet"/>
            </w:pPr>
            <w:r w:rsidRPr="00C34A2F">
              <w:t>inspection reporting system</w:t>
            </w:r>
          </w:p>
          <w:p w:rsidR="00000000" w:rsidRPr="00C34A2F" w:rsidP="00C34A2F">
            <w:pPr>
              <w:pStyle w:val="ListBullet"/>
            </w:pPr>
            <w:r w:rsidRPr="00C34A2F">
              <w:t>explosion-protected electrical insta</w:t>
            </w:r>
            <w:r w:rsidRPr="00C34A2F">
              <w:t>llation with and without defects that can be detected by visual and close inspection.</w:t>
            </w:r>
          </w:p>
        </w:tc>
      </w:tr>
    </w:tbl>
    <w:p w:rsidR="00000000" w:rsidRPr="00C34A2F" w:rsidP="00C34A2F">
      <w:pPr>
        <w:pStyle w:val="NoPaddingFontSize1"/>
      </w:pPr>
    </w:p>
    <w:p w:rsidR="00000000" w:rsidRPr="00C34A2F" w:rsidP="00C34A2F">
      <w:pPr>
        <w:pStyle w:val="AllowPageBreak"/>
      </w:pPr>
    </w:p>
    <w:p w:rsidR="00000000" w:rsidRPr="00C34A2F" w:rsidP="00C34A2F">
      <w:pPr>
        <w:pStyle w:val="Heading1"/>
      </w:pPr>
      <w:bookmarkStart w:id="5" w:name="O_1243225"/>
      <w:bookmarkEnd w:id="5"/>
      <w:r w:rsidRPr="00C34A2F">
        <w:t>Links</w:t>
      </w:r>
    </w:p>
    <w:p w:rsidR="00000000" w:rsidRPr="00C34A2F" w:rsidP="00304798">
      <w:pPr>
        <w:pStyle w:val="BodyText"/>
      </w:pPr>
      <w:r w:rsidRPr="00C34A2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41667">
        <w:rPr>
          <w:rStyle w:val="Hyperlink"/>
        </w:rPr>
        <w:t>https://vetnet.gov.au/Pages/TrainingDocs.aspx?q=b8a8f136-5421-4ce1-92e0-2b50341431b6</w:t>
      </w:r>
      <w:r>
        <w:fldChar w:fldCharType="end"/>
      </w:r>
    </w:p>
    <w:p w:rsidR="00000000" w:rsidRPr="00C34A2F" w:rsidP="00C34A2F"/>
    <w:sectPr w:rsidSect="00C34A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2F" w:rsidRPr="00304798" w:rsidP="00304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98" w:rsidP="00C34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798" w:rsidP="00C34A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4798" w:rsidP="00C34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A2F" w:rsidRPr="00304798" w:rsidP="00304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98" w:rsidRPr="002D2AF8" w:rsidP="00C34A2F">
    <w:pPr>
      <w:pStyle w:val="Header"/>
      <w:framePr w:wrap="around"/>
    </w:pPr>
    <w:r>
      <w:fldChar w:fldCharType="begin"/>
    </w:r>
    <w:r>
      <w:instrText xml:space="preserve"> TITLE   \* MERGEFORMAT </w:instrText>
    </w:r>
    <w:r>
      <w:fldChar w:fldCharType="separate"/>
    </w:r>
    <w:r>
      <w:t>Assessment Requirements for UEEHA0038 Conduct visual and close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04798" w:rsidP="00C34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8B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347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2B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A2F"/>
    <w:pPr>
      <w:spacing w:before="360" w:after="60"/>
      <w:outlineLvl w:val="0"/>
    </w:pPr>
    <w:rPr>
      <w:sz w:val="32"/>
    </w:rPr>
  </w:style>
  <w:style w:type="paragraph" w:styleId="Heading2">
    <w:name w:val="heading 2"/>
    <w:basedOn w:val="HeadingBase"/>
    <w:next w:val="BodyText"/>
    <w:link w:val="Heading2Char"/>
    <w:qFormat/>
    <w:rsid w:val="00C34A2F"/>
    <w:pPr>
      <w:keepLines/>
      <w:spacing w:before="240" w:after="120"/>
      <w:outlineLvl w:val="1"/>
    </w:pPr>
    <w:rPr>
      <w:sz w:val="28"/>
      <w:szCs w:val="40"/>
    </w:rPr>
  </w:style>
  <w:style w:type="paragraph" w:styleId="Heading3">
    <w:name w:val="heading 3"/>
    <w:basedOn w:val="HeadingBase"/>
    <w:next w:val="BodyText"/>
    <w:link w:val="Heading3Char"/>
    <w:qFormat/>
    <w:rsid w:val="00C34A2F"/>
    <w:pPr>
      <w:spacing w:before="180" w:after="120"/>
      <w:outlineLvl w:val="2"/>
    </w:pPr>
    <w:rPr>
      <w:spacing w:val="-10"/>
      <w:kern w:val="32"/>
    </w:rPr>
  </w:style>
  <w:style w:type="paragraph" w:styleId="Heading4">
    <w:name w:val="heading 4"/>
    <w:basedOn w:val="HeadingBase"/>
    <w:next w:val="BodyText"/>
    <w:link w:val="Heading4Char"/>
    <w:qFormat/>
    <w:rsid w:val="00C34A2F"/>
    <w:pPr>
      <w:spacing w:before="160" w:after="120"/>
      <w:outlineLvl w:val="3"/>
    </w:pPr>
    <w:rPr>
      <w:sz w:val="22"/>
    </w:rPr>
  </w:style>
  <w:style w:type="paragraph" w:styleId="Heading5">
    <w:name w:val="heading 5"/>
    <w:basedOn w:val="HeadingBase"/>
    <w:next w:val="Normal"/>
    <w:link w:val="Heading5Char"/>
    <w:qFormat/>
    <w:rsid w:val="00C34A2F"/>
    <w:pPr>
      <w:spacing w:before="80"/>
      <w:outlineLvl w:val="4"/>
    </w:pPr>
    <w:rPr>
      <w:color w:val="918585"/>
      <w:sz w:val="20"/>
    </w:rPr>
  </w:style>
  <w:style w:type="paragraph" w:styleId="Heading6">
    <w:name w:val="heading 6"/>
    <w:basedOn w:val="HeadingBase"/>
    <w:next w:val="Normal"/>
    <w:link w:val="Heading6Char"/>
    <w:qFormat/>
    <w:rsid w:val="00C34A2F"/>
    <w:pPr>
      <w:spacing w:before="60"/>
      <w:outlineLvl w:val="5"/>
    </w:pPr>
    <w:rPr>
      <w:color w:val="918585"/>
      <w:sz w:val="20"/>
    </w:rPr>
  </w:style>
  <w:style w:type="paragraph" w:styleId="Heading7">
    <w:name w:val="heading 7"/>
    <w:basedOn w:val="Normal"/>
    <w:next w:val="Normal"/>
    <w:link w:val="Heading7Char"/>
    <w:qFormat/>
    <w:rsid w:val="00C34A2F"/>
    <w:pPr>
      <w:ind w:left="720"/>
      <w:outlineLvl w:val="6"/>
    </w:pPr>
    <w:rPr>
      <w:i/>
    </w:rPr>
  </w:style>
  <w:style w:type="paragraph" w:styleId="Heading8">
    <w:name w:val="heading 8"/>
    <w:basedOn w:val="Normal"/>
    <w:next w:val="Normal"/>
    <w:link w:val="Heading8Char"/>
    <w:qFormat/>
    <w:rsid w:val="00C34A2F"/>
    <w:pPr>
      <w:ind w:left="720"/>
      <w:outlineLvl w:val="7"/>
    </w:pPr>
    <w:rPr>
      <w:i/>
    </w:rPr>
  </w:style>
  <w:style w:type="paragraph" w:styleId="Heading9">
    <w:name w:val="heading 9"/>
    <w:basedOn w:val="Normal"/>
    <w:next w:val="Normal"/>
    <w:link w:val="Heading9Char"/>
    <w:qFormat/>
    <w:rsid w:val="00C34A2F"/>
    <w:pPr>
      <w:ind w:left="720"/>
      <w:outlineLvl w:val="8"/>
    </w:pPr>
    <w:rPr>
      <w:i/>
    </w:rPr>
  </w:style>
  <w:style w:type="character" w:default="1" w:styleId="DefaultParagraphFont">
    <w:name w:val="Default Paragraph Font"/>
    <w:uiPriority w:val="1"/>
    <w:unhideWhenUsed/>
    <w:rsid w:val="00C34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A2F"/>
  </w:style>
  <w:style w:type="character" w:customStyle="1" w:styleId="Heading1Char">
    <w:name w:val="Heading 1 Char"/>
    <w:basedOn w:val="DefaultParagraphFont"/>
    <w:link w:val="Heading1"/>
    <w:rsid w:val="00C34A2F"/>
    <w:rPr>
      <w:rFonts w:ascii="Times New Roman" w:eastAsia="Times New Roman" w:hAnsi="Times New Roman" w:cs="Times New Roman"/>
      <w:b/>
      <w:sz w:val="32"/>
      <w:szCs w:val="20"/>
      <w:lang w:eastAsia="en-US"/>
    </w:rPr>
  </w:style>
  <w:style w:type="paragraph" w:styleId="BodyText">
    <w:name w:val="Body Text"/>
    <w:basedOn w:val="Normal"/>
    <w:link w:val="BodyTextChar"/>
    <w:rsid w:val="00C34A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A2F"/>
    <w:rPr>
      <w:rFonts w:ascii="Times New Roman" w:eastAsia="Times New Roman" w:hAnsi="Times New Roman" w:cs="Times New Roman"/>
      <w:sz w:val="24"/>
      <w:lang w:eastAsia="en-US"/>
    </w:rPr>
  </w:style>
  <w:style w:type="paragraph" w:styleId="ListBullet">
    <w:name w:val="List Bullet"/>
    <w:basedOn w:val="List"/>
    <w:rsid w:val="00C34A2F"/>
    <w:pPr>
      <w:numPr>
        <w:numId w:val="13"/>
      </w:numPr>
      <w:tabs>
        <w:tab w:val="clear" w:pos="340"/>
      </w:tabs>
      <w:spacing w:before="40" w:after="40"/>
    </w:pPr>
  </w:style>
  <w:style w:type="paragraph" w:styleId="ListBullet2">
    <w:name w:val="List Bullet 2"/>
    <w:basedOn w:val="List2"/>
    <w:rsid w:val="00C34A2F"/>
    <w:pPr>
      <w:numPr>
        <w:numId w:val="14"/>
      </w:numPr>
      <w:tabs>
        <w:tab w:val="clear" w:pos="680"/>
      </w:tabs>
    </w:pPr>
  </w:style>
  <w:style w:type="paragraph" w:customStyle="1" w:styleId="SuperHeading">
    <w:name w:val="SuperHeading"/>
    <w:basedOn w:val="Normal"/>
    <w:rsid w:val="00C34A2F"/>
    <w:pPr>
      <w:spacing w:before="240" w:after="120"/>
      <w:outlineLvl w:val="0"/>
    </w:pPr>
    <w:rPr>
      <w:rFonts w:ascii="Times New Roman" w:hAnsi="Times New Roman"/>
      <w:b/>
      <w:sz w:val="32"/>
    </w:rPr>
  </w:style>
  <w:style w:type="paragraph" w:customStyle="1" w:styleId="AllowPageBreak">
    <w:name w:val="AllowPageBreak"/>
    <w:rsid w:val="00C34A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4A2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A2F"/>
    <w:rPr>
      <w:rFonts w:ascii="Courier New" w:eastAsia="Times New Roman" w:hAnsi="Courier New" w:cs="Times New Roman"/>
      <w:i/>
      <w:szCs w:val="20"/>
      <w:lang w:eastAsia="en-US"/>
    </w:rPr>
  </w:style>
  <w:style w:type="paragraph" w:customStyle="1" w:styleId="HeadingBase">
    <w:name w:val="Heading Base"/>
    <w:rsid w:val="00C34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A2F"/>
    <w:pPr>
      <w:tabs>
        <w:tab w:val="right" w:leader="dot" w:pos="9072"/>
      </w:tabs>
      <w:ind w:left="567"/>
    </w:pPr>
    <w:rPr>
      <w:szCs w:val="22"/>
    </w:rPr>
  </w:style>
  <w:style w:type="paragraph" w:customStyle="1" w:styleId="TOCBase">
    <w:name w:val="TOC Base"/>
    <w:rsid w:val="00C34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A2F"/>
    <w:pPr>
      <w:tabs>
        <w:tab w:val="right" w:leader="dot" w:pos="9072"/>
      </w:tabs>
      <w:spacing w:before="40" w:after="40"/>
      <w:ind w:left="284"/>
    </w:pPr>
    <w:rPr>
      <w:rFonts w:ascii="Times New Roman" w:hAnsi="Times New Roman"/>
    </w:rPr>
  </w:style>
  <w:style w:type="paragraph" w:styleId="TOC1">
    <w:name w:val="toc 1"/>
    <w:basedOn w:val="TOCBase"/>
    <w:next w:val="Normal"/>
    <w:rsid w:val="00C34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A2F"/>
    <w:rPr>
      <w:rFonts w:ascii="Times New Roman" w:eastAsia="Times New Roman" w:hAnsi="Times New Roman" w:cs="Times New Roman"/>
      <w:sz w:val="16"/>
      <w:lang w:eastAsia="en-US"/>
    </w:rPr>
  </w:style>
  <w:style w:type="paragraph" w:styleId="Title">
    <w:name w:val="Title"/>
    <w:basedOn w:val="HeadingBase"/>
    <w:link w:val="TitleChar"/>
    <w:qFormat/>
    <w:rsid w:val="00C34A2F"/>
    <w:pPr>
      <w:spacing w:before="5040"/>
      <w:jc w:val="center"/>
    </w:pPr>
    <w:rPr>
      <w:sz w:val="48"/>
      <w:szCs w:val="72"/>
      <w:lang w:val="en-US"/>
    </w:rPr>
  </w:style>
  <w:style w:type="character" w:customStyle="1" w:styleId="TitleChar">
    <w:name w:val="Title Char"/>
    <w:basedOn w:val="DefaultParagraphFont"/>
    <w:link w:val="Title"/>
    <w:rsid w:val="00C34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A2F"/>
    <w:pPr>
      <w:tabs>
        <w:tab w:val="left" w:pos="3600"/>
        <w:tab w:val="left" w:pos="3958"/>
      </w:tabs>
    </w:pPr>
  </w:style>
  <w:style w:type="paragraph" w:styleId="List">
    <w:name w:val="List"/>
    <w:basedOn w:val="BodyText"/>
    <w:next w:val="BodyText"/>
    <w:rsid w:val="00C34A2F"/>
    <w:pPr>
      <w:tabs>
        <w:tab w:val="left" w:pos="340"/>
      </w:tabs>
      <w:spacing w:before="60" w:after="60"/>
      <w:ind w:left="340" w:hanging="340"/>
    </w:pPr>
  </w:style>
  <w:style w:type="paragraph" w:customStyle="1" w:styleId="Note">
    <w:name w:val="Note"/>
    <w:basedOn w:val="BodyText"/>
    <w:rsid w:val="00C34A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4A2F"/>
    <w:rPr>
      <w:b/>
      <w:spacing w:val="0"/>
    </w:rPr>
  </w:style>
  <w:style w:type="paragraph" w:customStyle="1" w:styleId="SuperTitle">
    <w:name w:val="SuperTitle"/>
    <w:basedOn w:val="Title"/>
    <w:rsid w:val="00C34A2F"/>
    <w:pPr>
      <w:framePr w:wrap="auto" w:hAnchor="text" w:y="6049"/>
    </w:pPr>
    <w:rPr>
      <w:color w:val="000000"/>
      <w:sz w:val="40"/>
    </w:rPr>
  </w:style>
  <w:style w:type="paragraph" w:customStyle="1" w:styleId="TOCTitle">
    <w:name w:val="TOCTitle"/>
    <w:basedOn w:val="Heading1"/>
    <w:rsid w:val="00C34A2F"/>
    <w:pPr>
      <w:spacing w:after="240"/>
      <w:jc w:val="center"/>
      <w:outlineLvl w:val="9"/>
    </w:pPr>
    <w:rPr>
      <w:caps/>
    </w:rPr>
  </w:style>
  <w:style w:type="paragraph" w:customStyle="1" w:styleId="Version">
    <w:name w:val="Version"/>
    <w:rsid w:val="00C34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A2F"/>
    <w:pPr>
      <w:keepNext w:val="0"/>
      <w:tabs>
        <w:tab w:val="right" w:pos="4176"/>
      </w:tabs>
      <w:ind w:left="198" w:hanging="198"/>
    </w:pPr>
    <w:rPr>
      <w:rFonts w:ascii="Garamond" w:hAnsi="Garamond"/>
    </w:rPr>
  </w:style>
  <w:style w:type="paragraph" w:styleId="IndexHeading">
    <w:name w:val="index heading"/>
    <w:basedOn w:val="Normal"/>
    <w:next w:val="Index1"/>
    <w:semiHidden/>
    <w:rsid w:val="00C34A2F"/>
    <w:pPr>
      <w:spacing w:before="120" w:after="120"/>
    </w:pPr>
    <w:rPr>
      <w:rFonts w:ascii="Arial" w:hAnsi="Arial"/>
      <w:b/>
      <w:color w:val="918585"/>
      <w:sz w:val="24"/>
    </w:rPr>
  </w:style>
  <w:style w:type="paragraph" w:styleId="Header">
    <w:name w:val="header"/>
    <w:basedOn w:val="Normal"/>
    <w:link w:val="HeaderChar"/>
    <w:rsid w:val="00C34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A2F"/>
    <w:rPr>
      <w:rFonts w:ascii="Times New Roman" w:eastAsia="Times New Roman" w:hAnsi="Times New Roman" w:cs="Times New Roman"/>
      <w:sz w:val="16"/>
      <w:szCs w:val="20"/>
      <w:lang w:val="en-GB" w:eastAsia="en-US"/>
    </w:rPr>
  </w:style>
  <w:style w:type="paragraph" w:customStyle="1" w:styleId="Chapter">
    <w:name w:val="Chapter"/>
    <w:basedOn w:val="Normal"/>
    <w:rsid w:val="00C34A2F"/>
    <w:pPr>
      <w:spacing w:before="240"/>
    </w:pPr>
    <w:rPr>
      <w:rFonts w:ascii="Times New Roman" w:hAnsi="Times New Roman"/>
      <w:smallCaps/>
      <w:spacing w:val="80"/>
      <w:sz w:val="28"/>
    </w:rPr>
  </w:style>
  <w:style w:type="paragraph" w:customStyle="1" w:styleId="InChapter">
    <w:name w:val="InChapter"/>
    <w:basedOn w:val="Heading3"/>
    <w:rsid w:val="00C34A2F"/>
    <w:pPr>
      <w:spacing w:after="240"/>
      <w:outlineLvl w:val="9"/>
    </w:pPr>
    <w:rPr>
      <w:noProof/>
    </w:rPr>
  </w:style>
  <w:style w:type="paragraph" w:styleId="Index2">
    <w:name w:val="index 2"/>
    <w:basedOn w:val="Normal"/>
    <w:next w:val="Normal"/>
    <w:semiHidden/>
    <w:rsid w:val="00C34A2F"/>
    <w:pPr>
      <w:tabs>
        <w:tab w:val="right" w:pos="4176"/>
      </w:tabs>
      <w:ind w:left="568" w:hanging="284"/>
    </w:pPr>
    <w:rPr>
      <w:rFonts w:ascii="Garamond" w:hAnsi="Garamond"/>
    </w:rPr>
  </w:style>
  <w:style w:type="paragraph" w:customStyle="1" w:styleId="Byline">
    <w:name w:val="Byline"/>
    <w:rsid w:val="00C34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A2F"/>
    <w:pPr>
      <w:tabs>
        <w:tab w:val="clear" w:pos="3600"/>
        <w:tab w:val="clear" w:pos="3958"/>
      </w:tabs>
      <w:jc w:val="right"/>
    </w:pPr>
  </w:style>
  <w:style w:type="character" w:styleId="Emphasis">
    <w:name w:val="Emphasis"/>
    <w:basedOn w:val="DefaultParagraphFont"/>
    <w:qFormat/>
    <w:rsid w:val="00C34A2F"/>
    <w:rPr>
      <w:i/>
    </w:rPr>
  </w:style>
  <w:style w:type="paragraph" w:styleId="Caption">
    <w:name w:val="caption"/>
    <w:basedOn w:val="BodyText"/>
    <w:next w:val="Normal"/>
    <w:qFormat/>
    <w:rsid w:val="00C34A2F"/>
    <w:pPr>
      <w:framePr w:w="2268" w:hSpace="181" w:vSpace="181" w:wrap="around" w:vAnchor="text" w:hAnchor="page" w:x="1135" w:y="285" w:anchorLock="1"/>
    </w:pPr>
    <w:rPr>
      <w:i/>
    </w:rPr>
  </w:style>
  <w:style w:type="paragraph" w:customStyle="1" w:styleId="MiniTOCTitle">
    <w:name w:val="MiniTOCTitle"/>
    <w:basedOn w:val="Heading4"/>
    <w:rsid w:val="00C34A2F"/>
    <w:pPr>
      <w:spacing w:before="240"/>
      <w:outlineLvl w:val="9"/>
    </w:pPr>
    <w:rPr>
      <w:noProof/>
      <w:sz w:val="24"/>
    </w:rPr>
  </w:style>
  <w:style w:type="paragraph" w:customStyle="1" w:styleId="MiniTOCItem">
    <w:name w:val="MiniTOCItem"/>
    <w:basedOn w:val="ListBullet"/>
    <w:rsid w:val="00C34A2F"/>
    <w:pPr>
      <w:numPr>
        <w:numId w:val="0"/>
      </w:numPr>
      <w:tabs>
        <w:tab w:val="right" w:leader="dot" w:pos="6521"/>
      </w:tabs>
      <w:spacing w:before="0" w:after="0"/>
    </w:pPr>
  </w:style>
  <w:style w:type="paragraph" w:customStyle="1" w:styleId="TOFTitle">
    <w:name w:val="TOFTitle"/>
    <w:basedOn w:val="TOCTitle"/>
    <w:rsid w:val="00C34A2F"/>
  </w:style>
  <w:style w:type="paragraph" w:styleId="TableofFigures">
    <w:name w:val="table of figures"/>
    <w:basedOn w:val="Normal"/>
    <w:next w:val="Normal"/>
    <w:semiHidden/>
    <w:rsid w:val="00C34A2F"/>
    <w:pPr>
      <w:tabs>
        <w:tab w:val="right" w:leader="dot" w:pos="9072"/>
      </w:tabs>
      <w:ind w:left="970" w:hanging="403"/>
    </w:pPr>
    <w:rPr>
      <w:rFonts w:ascii="Times New Roman" w:hAnsi="Times New Roman"/>
      <w:b/>
    </w:rPr>
  </w:style>
  <w:style w:type="paragraph" w:styleId="ListNumber">
    <w:name w:val="List Number"/>
    <w:basedOn w:val="List"/>
    <w:rsid w:val="00C34A2F"/>
    <w:pPr>
      <w:numPr>
        <w:numId w:val="16"/>
      </w:numPr>
      <w:tabs>
        <w:tab w:val="clear" w:pos="340"/>
      </w:tabs>
    </w:pPr>
  </w:style>
  <w:style w:type="character" w:customStyle="1" w:styleId="WingdingSymbols">
    <w:name w:val="Wingding Symbols"/>
    <w:rsid w:val="00C34A2F"/>
    <w:rPr>
      <w:rFonts w:ascii="Wingdings" w:hAnsi="Wingdings"/>
    </w:rPr>
  </w:style>
  <w:style w:type="paragraph" w:customStyle="1" w:styleId="TableHeading">
    <w:name w:val="Table Heading"/>
    <w:basedOn w:val="HeadingBase"/>
    <w:rsid w:val="00C34A2F"/>
    <w:pPr>
      <w:keepLines/>
      <w:pBdr>
        <w:bottom w:val="single" w:sz="6" w:space="1" w:color="918585"/>
      </w:pBdr>
      <w:spacing w:before="240"/>
    </w:pPr>
  </w:style>
  <w:style w:type="character" w:customStyle="1" w:styleId="HotSpot">
    <w:name w:val="HotSpot"/>
    <w:rsid w:val="00C34A2F"/>
    <w:rPr>
      <w:color w:val="0033CC"/>
      <w:u w:val="none"/>
    </w:rPr>
  </w:style>
  <w:style w:type="paragraph" w:customStyle="1" w:styleId="BodyTextRight">
    <w:name w:val="Body Text Right"/>
    <w:basedOn w:val="BodyText"/>
    <w:rsid w:val="00C34A2F"/>
    <w:pPr>
      <w:spacing w:before="0" w:after="0"/>
      <w:jc w:val="right"/>
    </w:pPr>
  </w:style>
  <w:style w:type="paragraph" w:styleId="Index3">
    <w:name w:val="index 3"/>
    <w:basedOn w:val="ListNumber2"/>
    <w:next w:val="Normal"/>
    <w:semiHidden/>
    <w:rsid w:val="00C34A2F"/>
    <w:pPr>
      <w:numPr>
        <w:numId w:val="0"/>
      </w:numPr>
      <w:tabs>
        <w:tab w:val="right" w:leader="dot" w:pos="4176"/>
      </w:tabs>
    </w:pPr>
  </w:style>
  <w:style w:type="paragraph" w:styleId="ListNumber2">
    <w:name w:val="List Number 2"/>
    <w:basedOn w:val="List2"/>
    <w:rsid w:val="00C34A2F"/>
    <w:pPr>
      <w:numPr>
        <w:numId w:val="11"/>
      </w:numPr>
      <w:tabs>
        <w:tab w:val="clear" w:pos="1060"/>
      </w:tabs>
    </w:pPr>
  </w:style>
  <w:style w:type="paragraph" w:customStyle="1" w:styleId="MarginNote">
    <w:name w:val="Margin Note"/>
    <w:basedOn w:val="BodyText"/>
    <w:rsid w:val="00C34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A2F"/>
    <w:rPr>
      <w:sz w:val="32"/>
    </w:rPr>
  </w:style>
  <w:style w:type="paragraph" w:customStyle="1" w:styleId="HeadingProcedure">
    <w:name w:val="Heading Procedure"/>
    <w:basedOn w:val="HeadingBase"/>
    <w:next w:val="Normal"/>
    <w:rsid w:val="00C34A2F"/>
    <w:pPr>
      <w:tabs>
        <w:tab w:val="left" w:pos="0"/>
      </w:tabs>
      <w:spacing w:before="120" w:after="60"/>
    </w:pPr>
    <w:rPr>
      <w:i/>
      <w:color w:val="918585"/>
      <w:sz w:val="22"/>
    </w:rPr>
  </w:style>
  <w:style w:type="paragraph" w:customStyle="1" w:styleId="TableBodyText">
    <w:name w:val="Table Body Text"/>
    <w:basedOn w:val="BodyText"/>
    <w:rsid w:val="00C34A2F"/>
    <w:pPr>
      <w:spacing w:before="60" w:after="60"/>
    </w:pPr>
  </w:style>
  <w:style w:type="paragraph" w:styleId="ListContinue">
    <w:name w:val="List Continue"/>
    <w:basedOn w:val="List"/>
    <w:rsid w:val="00C34A2F"/>
    <w:pPr>
      <w:ind w:firstLine="0"/>
    </w:pPr>
  </w:style>
  <w:style w:type="paragraph" w:customStyle="1" w:styleId="ListNote">
    <w:name w:val="List Note"/>
    <w:basedOn w:val="List"/>
    <w:rsid w:val="00C34A2F"/>
    <w:pPr>
      <w:pBdr>
        <w:top w:val="single" w:sz="6" w:space="2" w:color="918585"/>
        <w:bottom w:val="single" w:sz="6" w:space="2" w:color="918585"/>
      </w:pBdr>
      <w:tabs>
        <w:tab w:val="left" w:pos="1021"/>
      </w:tabs>
      <w:ind w:firstLine="0"/>
    </w:pPr>
  </w:style>
  <w:style w:type="paragraph" w:customStyle="1" w:styleId="Warning">
    <w:name w:val="Warning"/>
    <w:basedOn w:val="BodyText"/>
    <w:rsid w:val="00C34A2F"/>
    <w:pPr>
      <w:shd w:val="clear" w:color="auto" w:fill="D9D9D9"/>
      <w:tabs>
        <w:tab w:val="left" w:pos="992"/>
      </w:tabs>
      <w:ind w:left="119" w:right="119"/>
    </w:pPr>
    <w:rPr>
      <w:sz w:val="20"/>
    </w:rPr>
  </w:style>
  <w:style w:type="paragraph" w:customStyle="1" w:styleId="MarginIcons">
    <w:name w:val="Margin Icons"/>
    <w:basedOn w:val="BodyText"/>
    <w:rsid w:val="00C34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A2F"/>
    <w:rPr>
      <w:rFonts w:ascii="Courier New" w:hAnsi="Courier New"/>
    </w:rPr>
  </w:style>
  <w:style w:type="paragraph" w:customStyle="1" w:styleId="NoteBullet">
    <w:name w:val="Note Bullet"/>
    <w:basedOn w:val="Note"/>
    <w:rsid w:val="00C34A2F"/>
    <w:pPr>
      <w:tabs>
        <w:tab w:val="clear" w:pos="680"/>
      </w:tabs>
      <w:spacing w:before="60" w:after="60"/>
    </w:pPr>
  </w:style>
  <w:style w:type="paragraph" w:customStyle="1" w:styleId="SubHeading2">
    <w:name w:val="SubHeading2"/>
    <w:basedOn w:val="HeadingBase"/>
    <w:rsid w:val="00C34A2F"/>
    <w:pPr>
      <w:spacing w:before="240" w:after="60"/>
    </w:pPr>
    <w:rPr>
      <w:sz w:val="20"/>
    </w:rPr>
  </w:style>
  <w:style w:type="paragraph" w:customStyle="1" w:styleId="SubHeading1">
    <w:name w:val="SubHeading1"/>
    <w:basedOn w:val="HeadingBase"/>
    <w:rsid w:val="00C34A2F"/>
    <w:pPr>
      <w:spacing w:before="240" w:after="60"/>
    </w:pPr>
    <w:rPr>
      <w:color w:val="918585"/>
      <w:sz w:val="22"/>
    </w:rPr>
  </w:style>
  <w:style w:type="paragraph" w:customStyle="1" w:styleId="SideHeading">
    <w:name w:val="Side Heading"/>
    <w:basedOn w:val="HeadingBase"/>
    <w:rsid w:val="00C34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A2F"/>
    <w:pPr>
      <w:numPr>
        <w:numId w:val="12"/>
      </w:numPr>
    </w:pPr>
  </w:style>
  <w:style w:type="paragraph" w:styleId="PlainText">
    <w:name w:val="Plain Text"/>
    <w:basedOn w:val="Normal"/>
    <w:link w:val="PlainTextChar"/>
    <w:rsid w:val="00C34A2F"/>
    <w:rPr>
      <w:sz w:val="20"/>
    </w:rPr>
  </w:style>
  <w:style w:type="character" w:customStyle="1" w:styleId="PlainTextChar">
    <w:name w:val="Plain Text Char"/>
    <w:basedOn w:val="DefaultParagraphFont"/>
    <w:link w:val="PlainText"/>
    <w:rsid w:val="00C34A2F"/>
    <w:rPr>
      <w:rFonts w:ascii="Courier New" w:eastAsia="Times New Roman" w:hAnsi="Courier New" w:cs="Times New Roman"/>
      <w:sz w:val="20"/>
      <w:szCs w:val="20"/>
      <w:lang w:eastAsia="en-US"/>
    </w:rPr>
  </w:style>
  <w:style w:type="character" w:customStyle="1" w:styleId="MenuOption">
    <w:name w:val="Menu Option"/>
    <w:basedOn w:val="DefaultParagraphFont"/>
    <w:rsid w:val="00C34A2F"/>
    <w:rPr>
      <w:b/>
      <w:smallCaps/>
    </w:rPr>
  </w:style>
  <w:style w:type="paragraph" w:customStyle="1" w:styleId="TableListNumber">
    <w:name w:val="Table List Number"/>
    <w:basedOn w:val="ListNumber"/>
    <w:rsid w:val="00C34A2F"/>
    <w:pPr>
      <w:numPr>
        <w:numId w:val="0"/>
      </w:numPr>
    </w:pPr>
  </w:style>
  <w:style w:type="paragraph" w:styleId="TOC4">
    <w:name w:val="toc 4"/>
    <w:basedOn w:val="TOCBase"/>
    <w:next w:val="Normal"/>
    <w:semiHidden/>
    <w:rsid w:val="00C34A2F"/>
    <w:pPr>
      <w:tabs>
        <w:tab w:val="right" w:leader="dot" w:pos="9071"/>
      </w:tabs>
      <w:ind w:left="1701"/>
    </w:pPr>
  </w:style>
  <w:style w:type="paragraph" w:customStyle="1" w:styleId="ListAlpha">
    <w:name w:val="List Alpha"/>
    <w:basedOn w:val="List"/>
    <w:rsid w:val="00C34A2F"/>
    <w:pPr>
      <w:numPr>
        <w:numId w:val="10"/>
      </w:numPr>
    </w:pPr>
  </w:style>
  <w:style w:type="paragraph" w:customStyle="1" w:styleId="ListAlpha2">
    <w:name w:val="List Alpha 2"/>
    <w:basedOn w:val="List2"/>
    <w:rsid w:val="00C34A2F"/>
    <w:pPr>
      <w:numPr>
        <w:numId w:val="9"/>
      </w:numPr>
    </w:pPr>
  </w:style>
  <w:style w:type="paragraph" w:styleId="List2">
    <w:name w:val="List 2"/>
    <w:basedOn w:val="BodyText"/>
    <w:rsid w:val="00C34A2F"/>
    <w:pPr>
      <w:tabs>
        <w:tab w:val="left" w:pos="680"/>
      </w:tabs>
      <w:spacing w:before="60" w:after="60"/>
      <w:ind w:left="680" w:hanging="340"/>
    </w:pPr>
  </w:style>
  <w:style w:type="paragraph" w:styleId="List3">
    <w:name w:val="List 3"/>
    <w:basedOn w:val="BodyText"/>
    <w:rsid w:val="00C34A2F"/>
    <w:pPr>
      <w:tabs>
        <w:tab w:val="left" w:pos="1021"/>
      </w:tabs>
      <w:spacing w:before="60" w:after="60"/>
      <w:ind w:left="1020" w:hanging="340"/>
    </w:pPr>
  </w:style>
  <w:style w:type="paragraph" w:styleId="List4">
    <w:name w:val="List 4"/>
    <w:basedOn w:val="BodyText"/>
    <w:rsid w:val="00C34A2F"/>
    <w:pPr>
      <w:tabs>
        <w:tab w:val="left" w:pos="1361"/>
      </w:tabs>
      <w:spacing w:before="60" w:after="60"/>
      <w:ind w:left="1361" w:hanging="340"/>
    </w:pPr>
  </w:style>
  <w:style w:type="paragraph" w:styleId="List5">
    <w:name w:val="List 5"/>
    <w:basedOn w:val="BodyText"/>
    <w:rsid w:val="00C34A2F"/>
    <w:pPr>
      <w:tabs>
        <w:tab w:val="left" w:pos="1701"/>
      </w:tabs>
      <w:spacing w:before="60" w:after="60"/>
      <w:ind w:left="1701" w:hanging="340"/>
    </w:pPr>
  </w:style>
  <w:style w:type="paragraph" w:styleId="ListBullet4">
    <w:name w:val="List Bullet 4"/>
    <w:basedOn w:val="List4"/>
    <w:rsid w:val="00C34A2F"/>
    <w:pPr>
      <w:numPr>
        <w:numId w:val="4"/>
      </w:numPr>
      <w:tabs>
        <w:tab w:val="clear" w:pos="1361"/>
      </w:tabs>
    </w:pPr>
  </w:style>
  <w:style w:type="paragraph" w:styleId="ListBullet5">
    <w:name w:val="List Bullet 5"/>
    <w:basedOn w:val="List5"/>
    <w:rsid w:val="00C34A2F"/>
    <w:pPr>
      <w:numPr>
        <w:numId w:val="5"/>
      </w:numPr>
    </w:pPr>
  </w:style>
  <w:style w:type="paragraph" w:styleId="ListContinue2">
    <w:name w:val="List Continue 2"/>
    <w:basedOn w:val="List2"/>
    <w:rsid w:val="00C34A2F"/>
    <w:pPr>
      <w:ind w:firstLine="0"/>
    </w:pPr>
  </w:style>
  <w:style w:type="paragraph" w:styleId="ListContinue3">
    <w:name w:val="List Continue 3"/>
    <w:basedOn w:val="List3"/>
    <w:rsid w:val="00C34A2F"/>
    <w:pPr>
      <w:ind w:left="1021" w:firstLine="0"/>
    </w:pPr>
  </w:style>
  <w:style w:type="paragraph" w:styleId="ListContinue4">
    <w:name w:val="List Continue 4"/>
    <w:basedOn w:val="List4"/>
    <w:rsid w:val="00C34A2F"/>
    <w:pPr>
      <w:ind w:firstLine="0"/>
    </w:pPr>
  </w:style>
  <w:style w:type="paragraph" w:styleId="ListContinue5">
    <w:name w:val="List Continue 5"/>
    <w:basedOn w:val="List5"/>
    <w:rsid w:val="00C34A2F"/>
    <w:pPr>
      <w:ind w:firstLine="0"/>
    </w:pPr>
  </w:style>
  <w:style w:type="paragraph" w:styleId="ListNumber3">
    <w:name w:val="List Number 3"/>
    <w:basedOn w:val="List3"/>
    <w:rsid w:val="00C34A2F"/>
    <w:pPr>
      <w:numPr>
        <w:numId w:val="6"/>
      </w:numPr>
    </w:pPr>
  </w:style>
  <w:style w:type="paragraph" w:styleId="ListNumber4">
    <w:name w:val="List Number 4"/>
    <w:basedOn w:val="List4"/>
    <w:rsid w:val="00C34A2F"/>
    <w:pPr>
      <w:numPr>
        <w:numId w:val="7"/>
      </w:numPr>
    </w:pPr>
  </w:style>
  <w:style w:type="paragraph" w:styleId="ListNumber5">
    <w:name w:val="List Number 5"/>
    <w:basedOn w:val="List5"/>
    <w:rsid w:val="00C34A2F"/>
    <w:pPr>
      <w:numPr>
        <w:numId w:val="8"/>
      </w:numPr>
    </w:pPr>
  </w:style>
  <w:style w:type="paragraph" w:styleId="BlockText">
    <w:name w:val="Block Text"/>
    <w:basedOn w:val="Normal"/>
    <w:rsid w:val="00C34A2F"/>
    <w:pPr>
      <w:spacing w:after="120"/>
      <w:ind w:left="1440" w:right="1440"/>
    </w:pPr>
  </w:style>
  <w:style w:type="character" w:customStyle="1" w:styleId="Subscript">
    <w:name w:val="Subscript"/>
    <w:basedOn w:val="DefaultParagraphFont"/>
    <w:rsid w:val="00C34A2F"/>
    <w:rPr>
      <w:sz w:val="16"/>
      <w:vertAlign w:val="subscript"/>
    </w:rPr>
  </w:style>
  <w:style w:type="character" w:customStyle="1" w:styleId="Superscript">
    <w:name w:val="Superscript"/>
    <w:basedOn w:val="DefaultParagraphFont"/>
    <w:rsid w:val="00C34A2F"/>
    <w:rPr>
      <w:sz w:val="16"/>
      <w:vertAlign w:val="superscript"/>
    </w:rPr>
  </w:style>
  <w:style w:type="character" w:customStyle="1" w:styleId="Symbols">
    <w:name w:val="Symbols"/>
    <w:basedOn w:val="DefaultParagraphFont"/>
    <w:rsid w:val="00C34A2F"/>
    <w:rPr>
      <w:rFonts w:ascii="Symbol" w:hAnsi="Symbol"/>
    </w:rPr>
  </w:style>
  <w:style w:type="character" w:customStyle="1" w:styleId="MenuOptions">
    <w:name w:val="Menu Options"/>
    <w:basedOn w:val="DefaultParagraphFont"/>
    <w:rsid w:val="00C34A2F"/>
    <w:rPr>
      <w:rFonts w:ascii="Arial Narrow" w:hAnsi="Arial Narrow"/>
      <w:smallCaps/>
    </w:rPr>
  </w:style>
  <w:style w:type="character" w:customStyle="1" w:styleId="Buttons">
    <w:name w:val="Buttons"/>
    <w:basedOn w:val="DefaultParagraphFont"/>
    <w:rsid w:val="00C34A2F"/>
    <w:rPr>
      <w:b/>
    </w:rPr>
  </w:style>
  <w:style w:type="character" w:customStyle="1" w:styleId="Underlined">
    <w:name w:val="Underlined"/>
    <w:basedOn w:val="DefaultParagraphFont"/>
    <w:rsid w:val="00C34A2F"/>
    <w:rPr>
      <w:u w:val="single"/>
    </w:rPr>
  </w:style>
  <w:style w:type="paragraph" w:customStyle="1" w:styleId="TableBodyTextRight">
    <w:name w:val="Table Body Text Right"/>
    <w:basedOn w:val="TableBodyText"/>
    <w:rsid w:val="00C34A2F"/>
    <w:pPr>
      <w:widowControl w:val="0"/>
      <w:autoSpaceDE w:val="0"/>
      <w:autoSpaceDN w:val="0"/>
      <w:adjustRightInd w:val="0"/>
      <w:jc w:val="right"/>
    </w:pPr>
    <w:rPr>
      <w:rFonts w:cs="Arial"/>
      <w:szCs w:val="18"/>
    </w:rPr>
  </w:style>
  <w:style w:type="paragraph" w:customStyle="1" w:styleId="CopyrightText">
    <w:name w:val="Copyright Text"/>
    <w:basedOn w:val="BodyText"/>
    <w:rsid w:val="00C34A2F"/>
    <w:rPr>
      <w:sz w:val="18"/>
    </w:rPr>
  </w:style>
  <w:style w:type="paragraph" w:customStyle="1" w:styleId="BodySmallRight">
    <w:name w:val="Body Small Right"/>
    <w:basedOn w:val="BodyTextRight"/>
    <w:rsid w:val="00C34A2F"/>
    <w:rPr>
      <w:sz w:val="18"/>
      <w:szCs w:val="18"/>
    </w:rPr>
  </w:style>
  <w:style w:type="paragraph" w:customStyle="1" w:styleId="MarginEdition">
    <w:name w:val="Margin Edition"/>
    <w:basedOn w:val="MarginNote"/>
    <w:rsid w:val="00C34A2F"/>
    <w:pPr>
      <w:spacing w:before="0" w:after="0"/>
    </w:pPr>
    <w:rPr>
      <w:rFonts w:ascii="Times New Roman" w:hAnsi="Times New Roman"/>
      <w:color w:val="999999"/>
    </w:rPr>
  </w:style>
  <w:style w:type="paragraph" w:customStyle="1" w:styleId="Spacer">
    <w:name w:val="Spacer"/>
    <w:basedOn w:val="Normal"/>
    <w:rsid w:val="00C34A2F"/>
    <w:rPr>
      <w:sz w:val="2"/>
      <w:szCs w:val="2"/>
    </w:rPr>
  </w:style>
  <w:style w:type="character" w:customStyle="1" w:styleId="Small">
    <w:name w:val="Small"/>
    <w:basedOn w:val="DefaultParagraphFont"/>
    <w:rsid w:val="00C34A2F"/>
    <w:rPr>
      <w:sz w:val="16"/>
    </w:rPr>
  </w:style>
  <w:style w:type="paragraph" w:customStyle="1" w:styleId="WideTable">
    <w:name w:val="Wide Table"/>
    <w:basedOn w:val="Normal"/>
    <w:rsid w:val="00C34A2F"/>
    <w:pPr>
      <w:ind w:left="-1418"/>
    </w:pPr>
    <w:rPr>
      <w:sz w:val="2"/>
      <w:szCs w:val="2"/>
    </w:rPr>
  </w:style>
  <w:style w:type="character" w:styleId="PageNumber">
    <w:name w:val="page number"/>
    <w:basedOn w:val="DefaultParagraphFont"/>
    <w:rsid w:val="00C34A2F"/>
  </w:style>
  <w:style w:type="paragraph" w:styleId="Quote">
    <w:name w:val="Quote"/>
    <w:basedOn w:val="Heading1"/>
    <w:link w:val="QuoteChar"/>
    <w:qFormat/>
    <w:rsid w:val="00C34A2F"/>
    <w:rPr>
      <w:b w:val="0"/>
      <w:sz w:val="72"/>
      <w:szCs w:val="72"/>
      <w:lang w:val="en-NZ"/>
    </w:rPr>
  </w:style>
  <w:style w:type="character" w:customStyle="1" w:styleId="QuoteChar">
    <w:name w:val="Quote Char"/>
    <w:basedOn w:val="DefaultParagraphFont"/>
    <w:link w:val="Quote"/>
    <w:rsid w:val="00C34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A2F"/>
    <w:pPr>
      <w:pageBreakBefore/>
    </w:pPr>
  </w:style>
  <w:style w:type="paragraph" w:customStyle="1" w:styleId="Border">
    <w:name w:val="Border"/>
    <w:basedOn w:val="Normal"/>
    <w:qFormat/>
    <w:rsid w:val="00C34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A2F"/>
    <w:rPr>
      <w:b/>
      <w:bCs/>
      <w:i/>
      <w:iCs/>
      <w:color w:val="auto"/>
    </w:rPr>
  </w:style>
  <w:style w:type="paragraph" w:styleId="IntenseQuote">
    <w:name w:val="Intense Quote"/>
    <w:basedOn w:val="Normal"/>
    <w:next w:val="Normal"/>
    <w:link w:val="IntenseQuoteChar"/>
    <w:uiPriority w:val="30"/>
    <w:qFormat/>
    <w:rsid w:val="00C34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A2F"/>
    <w:rPr>
      <w:smallCaps/>
      <w:color w:val="auto"/>
      <w:u w:val="single"/>
    </w:rPr>
  </w:style>
  <w:style w:type="character" w:styleId="IntenseReference">
    <w:name w:val="Intense Reference"/>
    <w:basedOn w:val="DefaultParagraphFont"/>
    <w:uiPriority w:val="32"/>
    <w:qFormat/>
    <w:rsid w:val="00C34A2F"/>
    <w:rPr>
      <w:b/>
      <w:bCs/>
      <w:smallCaps/>
      <w:color w:val="auto"/>
      <w:spacing w:val="5"/>
      <w:u w:val="single"/>
    </w:rPr>
  </w:style>
  <w:style w:type="paragraph" w:customStyle="1" w:styleId="2ColumnHeading">
    <w:name w:val="2Column Heading"/>
    <w:basedOn w:val="BodyText"/>
    <w:qFormat/>
    <w:rsid w:val="00C34A2F"/>
    <w:pPr>
      <w:spacing w:after="60"/>
      <w:ind w:left="-2268"/>
    </w:pPr>
    <w:rPr>
      <w:b/>
    </w:rPr>
  </w:style>
  <w:style w:type="paragraph" w:customStyle="1" w:styleId="Heading1TOC">
    <w:name w:val="Heading1 TOC"/>
    <w:basedOn w:val="Normal"/>
    <w:qFormat/>
    <w:rsid w:val="00C34A2F"/>
    <w:pPr>
      <w:spacing w:before="240" w:after="120"/>
    </w:pPr>
    <w:rPr>
      <w:rFonts w:ascii="Times New Roman" w:hAnsi="Times New Roman"/>
      <w:b/>
      <w:sz w:val="32"/>
    </w:rPr>
  </w:style>
  <w:style w:type="paragraph" w:customStyle="1" w:styleId="Heading2TOC">
    <w:name w:val="Heading2 TOC"/>
    <w:basedOn w:val="Normal"/>
    <w:qFormat/>
    <w:rsid w:val="00C34A2F"/>
    <w:pPr>
      <w:spacing w:before="240" w:after="60"/>
    </w:pPr>
    <w:rPr>
      <w:rFonts w:ascii="Times New Roman" w:hAnsi="Times New Roman"/>
      <w:b/>
      <w:sz w:val="28"/>
    </w:rPr>
  </w:style>
  <w:style w:type="character" w:customStyle="1" w:styleId="Underline">
    <w:name w:val="Underline"/>
    <w:basedOn w:val="DefaultParagraphFont"/>
    <w:qFormat/>
    <w:rsid w:val="00C34A2F"/>
    <w:rPr>
      <w:u w:val="single"/>
    </w:rPr>
  </w:style>
  <w:style w:type="character" w:customStyle="1" w:styleId="BoldandItalics">
    <w:name w:val="Bold and Italics"/>
    <w:qFormat/>
    <w:rsid w:val="00C34A2F"/>
    <w:rPr>
      <w:b/>
      <w:i/>
      <w:u w:val="none"/>
    </w:rPr>
  </w:style>
  <w:style w:type="paragraph" w:styleId="BalloonText">
    <w:name w:val="Balloon Text"/>
    <w:basedOn w:val="Normal"/>
    <w:link w:val="BalloonTextChar"/>
    <w:rsid w:val="00C34A2F"/>
    <w:rPr>
      <w:rFonts w:ascii="Tahoma" w:hAnsi="Tahoma" w:cs="Tahoma"/>
      <w:sz w:val="16"/>
      <w:szCs w:val="16"/>
    </w:rPr>
  </w:style>
  <w:style w:type="character" w:customStyle="1" w:styleId="BalloonTextChar">
    <w:name w:val="Balloon Text Char"/>
    <w:basedOn w:val="DefaultParagraphFont"/>
    <w:link w:val="BalloonText"/>
    <w:rsid w:val="00C34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A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A2F"/>
    <w:rPr>
      <w:b/>
      <w:color w:val="660033"/>
      <w:spacing w:val="0"/>
    </w:rPr>
  </w:style>
  <w:style w:type="paragraph" w:customStyle="1" w:styleId="Nameditemlist">
    <w:name w:val="Named item list"/>
    <w:basedOn w:val="BodyText"/>
    <w:qFormat/>
    <w:rsid w:val="00C34A2F"/>
    <w:pPr>
      <w:tabs>
        <w:tab w:val="left" w:pos="2835"/>
      </w:tabs>
      <w:ind w:left="2835" w:hanging="2835"/>
    </w:pPr>
  </w:style>
  <w:style w:type="paragraph" w:customStyle="1" w:styleId="BodyTextnopadding">
    <w:name w:val="Body Text no padding"/>
    <w:basedOn w:val="BodyText"/>
    <w:qFormat/>
    <w:rsid w:val="00C34A2F"/>
    <w:pPr>
      <w:spacing w:before="0" w:after="0"/>
    </w:pPr>
  </w:style>
  <w:style w:type="paragraph" w:customStyle="1" w:styleId="BodyTextBold">
    <w:name w:val="Body Text Bold"/>
    <w:basedOn w:val="BodyText"/>
    <w:qFormat/>
    <w:rsid w:val="00C34A2F"/>
    <w:rPr>
      <w:b/>
    </w:rPr>
  </w:style>
  <w:style w:type="character" w:styleId="Hyperlink">
    <w:name w:val="Hyperlink"/>
    <w:basedOn w:val="DefaultParagraphFont"/>
    <w:uiPriority w:val="99"/>
    <w:unhideWhenUsed/>
    <w:rsid w:val="00304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4027</Characters>
  <Application>Microsoft Office Word</Application>
  <DocSecurity>0</DocSecurity>
  <Lines>100</Lines>
  <Paragraphs>73</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UEEHA0038 Conduct visual and close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