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655" w:rsidP="00C20655">
      <w:pPr>
        <w:pStyle w:val="Title"/>
      </w:pPr>
      <w:r>
        <w:fldChar w:fldCharType="begin"/>
      </w:r>
      <w:r>
        <w:instrText xml:space="preserve"> TITLE   \* MERGEFORMAT </w:instrText>
      </w:r>
      <w:r>
        <w:fldChar w:fldCharType="separate"/>
      </w:r>
      <w:r>
        <w:t>UEEHA0028 Perform compliance audits of hazardous areas and related electrical installation</w:t>
      </w:r>
      <w:r>
        <w:fldChar w:fldCharType="end"/>
      </w:r>
    </w:p>
    <w:p w:rsidR="00C20655" w:rsidP="00C20655">
      <w:pPr>
        <w:pStyle w:val="Version"/>
        <w:sectPr w:rsidSect="00BE7B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BC0" w:rsidP="00BE7BC0">
      <w:pPr>
        <w:pStyle w:val="SuperHeading"/>
      </w:pPr>
      <w:r w:rsidRPr="00BE7BC0">
        <w:t>UEEHA0028 Perform compliance audits of hazardous areas and related electrical installation</w:t>
      </w:r>
    </w:p>
    <w:p w:rsidR="00000000" w:rsidRPr="00BE7BC0" w:rsidP="00BE7BC0">
      <w:pPr>
        <w:pStyle w:val="Heading1"/>
      </w:pPr>
      <w:bookmarkStart w:id="1" w:name="O_1243019"/>
      <w:bookmarkEnd w:id="1"/>
      <w:r w:rsidRPr="00BE7BC0">
        <w:t>Modification History</w:t>
      </w:r>
    </w:p>
    <w:tbl>
      <w:tblPr>
        <w:tblW w:w="9497" w:type="dxa"/>
        <w:tblLayout w:type="fixed"/>
        <w:tblCellMar>
          <w:left w:w="62" w:type="dxa"/>
          <w:right w:w="62" w:type="dxa"/>
        </w:tblCellMar>
        <w:tblLook w:val="0000"/>
      </w:tblPr>
      <w:tblGrid>
        <w:gridCol w:w="9497"/>
      </w:tblGrid>
      <w:tr w:rsidTr="00BE7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Release 1. This is the first release of this unit of competency in the Electrotechnology Training Package.</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2" w:name="O_1243020"/>
      <w:bookmarkEnd w:id="2"/>
      <w:r w:rsidRPr="00BE7BC0">
        <w:t>Application</w:t>
      </w:r>
    </w:p>
    <w:tbl>
      <w:tblPr>
        <w:tblW w:w="9497" w:type="dxa"/>
        <w:tblLayout w:type="fixed"/>
        <w:tblCellMar>
          <w:left w:w="62" w:type="dxa"/>
          <w:right w:w="62" w:type="dxa"/>
        </w:tblCellMar>
        <w:tblLook w:val="0000"/>
      </w:tblPr>
      <w:tblGrid>
        <w:gridCol w:w="9497"/>
      </w:tblGrid>
      <w:tr w:rsidTr="00BE7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This unit involves the skills and knowledge required to conduct an audit of classified hazardous areas (e.g. where flammable gas or vapour hazards or explosive dust atmospheres and combustible dust layers have the potential to be, or a</w:t>
            </w:r>
            <w:r w:rsidRPr="00BE7BC0">
              <w:t xml:space="preserve">re present), and the explosion-protection aspects of the related electrical installation, which include electrical, instrumentation, control and/or communications equipment and installations. </w:t>
            </w:r>
          </w:p>
          <w:p w:rsidR="00000000" w:rsidRPr="00BE7BC0" w:rsidP="00BE7BC0">
            <w:pPr>
              <w:pStyle w:val="BodyText"/>
            </w:pPr>
            <w:r w:rsidRPr="00BE7BC0">
              <w:t>It includes: reviewing the processes given for the hazardous ar</w:t>
            </w:r>
            <w:r w:rsidRPr="00BE7BC0">
              <w:t xml:space="preserve">ea and its compatibility with the classification documentation held in the verification dossier; determining by the use of various tools or resources (e.g. construction or maintenance systems, facility documentation), or by inspection whether equipment or </w:t>
            </w:r>
            <w:r w:rsidRPr="00BE7BC0">
              <w:t>systems are compliant for the area in which they are installed including wiring systems; evaluating the currency of documentation held in the verification dossier; and reporting audit results, including recommendations for remediation of non-compliance and</w:t>
            </w:r>
            <w:r w:rsidRPr="00BE7BC0">
              <w:t xml:space="preserve"> required updating of the verification dossier or documents that support the verification dossier. </w:t>
            </w:r>
          </w:p>
          <w:p w:rsidR="00000000" w:rsidRPr="00BE7BC0" w:rsidP="00BE7BC0">
            <w:pPr>
              <w:pStyle w:val="BodyText"/>
            </w:pPr>
            <w:r w:rsidRPr="00BE7BC0">
              <w:t>This unit applies to personnel required to audit areas that have been classified as hazardous in reference to AS/NZS60079.10.2 or equivalent. The auditing t</w:t>
            </w:r>
            <w:r w:rsidRPr="00BE7BC0">
              <w:t xml:space="preserve">ask itself would apply to the various lifecycle phases of an installation. It is appropriate for personnel that are required to complete some, or all, of the responsibilities required of </w:t>
            </w:r>
            <w:r>
              <w:t>‘</w:t>
            </w:r>
            <w:r w:rsidRPr="00BE7BC0">
              <w:t>The Person with Executive Function</w:t>
            </w:r>
            <w:r>
              <w:t>’</w:t>
            </w:r>
            <w:r w:rsidRPr="00BE7BC0">
              <w:t xml:space="preserve"> (TPEF), as described in AS/NZS60</w:t>
            </w:r>
            <w:r w:rsidRPr="00BE7BC0">
              <w:t>079.17:2017, for example, where the continuous supervision maintenance strategy has been adopted, and there is a need to analyse or verify the effectiveness of the continuous supervision process.</w:t>
            </w:r>
          </w:p>
          <w:p w:rsidR="00000000" w:rsidRPr="00BE7BC0" w:rsidP="00BE7BC0">
            <w:pPr>
              <w:pStyle w:val="BodyText"/>
            </w:pPr>
            <w:r w:rsidRPr="00BE7BC0">
              <w:t>Site-specific work permits may be required to work in the ha</w:t>
            </w:r>
            <w:r w:rsidRPr="00BE7BC0">
              <w:t>zardous environment. In addition, other permits may be required, such as confined space and to operate specific pieces of equipment such as elevated work platforms in various jurisdictions. Before any audit is planned, these conditions of control are to be</w:t>
            </w:r>
            <w:r w:rsidRPr="00BE7BC0">
              <w:t xml:space="preserve"> considered. </w:t>
            </w:r>
          </w:p>
          <w:p w:rsidR="00000000" w:rsidRPr="00BE7BC0" w:rsidP="00BE7BC0">
            <w:pPr>
              <w:pStyle w:val="BodyText"/>
            </w:pPr>
            <w:r w:rsidRPr="00BE7BC0">
              <w:t>Additional and/or other conditions may apply in some jurisdictions subject to regulations related to electrical work. Practice in the workplace and during training is also subject to work health and safety (WHS)/occupational health and safety</w:t>
            </w:r>
            <w:r w:rsidRPr="00BE7BC0">
              <w:t xml:space="preserve"> (OHS) regulations.</w:t>
            </w:r>
          </w:p>
          <w:p w:rsidR="00000000" w:rsidRPr="00BE7BC0" w:rsidP="00BE7BC0">
            <w:pPr>
              <w:pStyle w:val="BodyText"/>
            </w:pPr>
            <w:r w:rsidRPr="00BE7BC0">
              <w:t>This unit of competency and associated assessment requirements is adopted from clause 2.14 of AS/NZS 4761.1:2018 Competencies for working with electrical equipment for hazardous areas (EEHA). There may be differences between the content</w:t>
            </w:r>
            <w:r w:rsidRPr="00BE7BC0">
              <w:t xml:space="preserve"> of this unit and AS/NZS 4761.1:2018, so the Standard must be checked to ensure compliance with it. Clause 2.14 of AS/NZS 4761.1:2018 also includes the following precondition for assessment:</w:t>
            </w:r>
          </w:p>
          <w:p w:rsidR="00000000" w:rsidRPr="00BE7BC0" w:rsidP="00BE7BC0">
            <w:pPr>
              <w:pStyle w:val="ListBullet"/>
            </w:pPr>
            <w:r>
              <w:t>“</w:t>
            </w:r>
            <w:r w:rsidRPr="00BE7BC0">
              <w:t>A candidate seeking assessment in this unit shall have been dee</w:t>
            </w:r>
            <w:r w:rsidRPr="00BE7BC0">
              <w:t xml:space="preserve">med competent to audit </w:t>
            </w:r>
            <w:r w:rsidRPr="00BE7BC0">
              <w:t>compliance of electrotechnology systems at AQF level 4 or NZQF level 5 (BD) or equivalent.</w:t>
            </w:r>
            <w:r>
              <w:t>”</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3" w:name="O_1243021"/>
      <w:bookmarkEnd w:id="3"/>
      <w:r w:rsidRPr="00BE7BC0">
        <w:t>Pre-requisite Unit</w:t>
      </w:r>
    </w:p>
    <w:tbl>
      <w:tblPr>
        <w:tblW w:w="9497" w:type="dxa"/>
        <w:tblLayout w:type="fixed"/>
        <w:tblCellMar>
          <w:left w:w="62" w:type="dxa"/>
          <w:right w:w="62" w:type="dxa"/>
        </w:tblCellMar>
        <w:tblLook w:val="0000"/>
      </w:tblPr>
      <w:tblGrid>
        <w:gridCol w:w="9497"/>
      </w:tblGrid>
      <w:tr w:rsidTr="00BE7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UEEHA0004 Enter a classified hazardous area to undertake work related to electrical equipment</w:t>
            </w:r>
          </w:p>
          <w:p w:rsidR="00000000" w:rsidRPr="00BE7BC0" w:rsidP="00BE7BC0">
            <w:pPr>
              <w:pStyle w:val="BodyText"/>
            </w:pPr>
            <w:r w:rsidRPr="00BE7BC0">
              <w:t>UEEHA0020 Conduct detailed inspection of electrical installations for hazardous areas</w:t>
            </w:r>
          </w:p>
          <w:p w:rsidR="00000000" w:rsidRPr="00BE7BC0" w:rsidP="00BE7BC0">
            <w:pPr>
              <w:pStyle w:val="BodyText"/>
            </w:pPr>
            <w:r w:rsidRPr="00BE7BC0">
              <w:t>UEEHA0022 Determine the explosion-protection requirements to meet a specified classified hazardous area</w:t>
            </w:r>
          </w:p>
          <w:p w:rsidR="00000000" w:rsidRPr="00BE7BC0" w:rsidP="00BE7BC0">
            <w:pPr>
              <w:pStyle w:val="BodyText"/>
            </w:pPr>
            <w:r w:rsidRPr="00BE7BC0">
              <w:t>UEEHA0038 Conduct visual and close inspection of electrical instal</w:t>
            </w:r>
            <w:r w:rsidRPr="00BE7BC0">
              <w:t>lations for hazardous areas</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4" w:name="O_1243022"/>
      <w:bookmarkEnd w:id="4"/>
      <w:r w:rsidRPr="00BE7BC0">
        <w:t>Competency Field</w:t>
      </w:r>
    </w:p>
    <w:tbl>
      <w:tblPr>
        <w:tblW w:w="9497" w:type="dxa"/>
        <w:tblLayout w:type="fixed"/>
        <w:tblCellMar>
          <w:left w:w="62" w:type="dxa"/>
          <w:right w:w="62" w:type="dxa"/>
        </w:tblCellMar>
        <w:tblLook w:val="0000"/>
      </w:tblPr>
      <w:tblGrid>
        <w:gridCol w:w="9497"/>
      </w:tblGrid>
      <w:tr w:rsidTr="00BE7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Hazards</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5" w:name="O_1243023"/>
      <w:bookmarkEnd w:id="5"/>
      <w:r w:rsidRPr="00BE7BC0">
        <w:t>Unit Sector</w:t>
      </w:r>
    </w:p>
    <w:tbl>
      <w:tblPr>
        <w:tblW w:w="9497" w:type="dxa"/>
        <w:tblLayout w:type="fixed"/>
        <w:tblCellMar>
          <w:left w:w="62" w:type="dxa"/>
          <w:right w:w="62" w:type="dxa"/>
        </w:tblCellMar>
        <w:tblLook w:val="0000"/>
      </w:tblPr>
      <w:tblGrid>
        <w:gridCol w:w="9497"/>
      </w:tblGrid>
      <w:tr w:rsidTr="00BE7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Electrotechnology</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6" w:name="O_1243024"/>
      <w:bookmarkEnd w:id="6"/>
      <w:r w:rsidRPr="00BE7BC0">
        <w:t>Elements and Performance Criteria</w:t>
      </w:r>
    </w:p>
    <w:tbl>
      <w:tblPr>
        <w:tblW w:w="9497" w:type="dxa"/>
        <w:tblLayout w:type="fixed"/>
        <w:tblCellMar>
          <w:left w:w="62" w:type="dxa"/>
          <w:right w:w="62" w:type="dxa"/>
        </w:tblCellMar>
        <w:tblLook w:val="0000"/>
      </w:tblPr>
      <w:tblGrid>
        <w:gridCol w:w="403"/>
        <w:gridCol w:w="2849"/>
        <w:gridCol w:w="697"/>
        <w:gridCol w:w="5548"/>
      </w:tblGrid>
      <w:tr w:rsidTr="00BE7BC0">
        <w:tblPrEx>
          <w:tblW w:w="9497" w:type="dxa"/>
          <w:tblLayout w:type="fixed"/>
          <w:tblCellMar>
            <w:left w:w="62" w:type="dxa"/>
            <w:right w:w="62" w:type="dxa"/>
          </w:tblCellMar>
          <w:tblLook w:val="0000"/>
        </w:tblPrEx>
        <w:tc>
          <w:tcPr>
            <w:tcW w:w="3252" w:type="dxa"/>
            <w:gridSpan w:val="2"/>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rPr>
                <w:rStyle w:val="SpecialBold"/>
              </w:rPr>
              <w:t>ELEMENTS</w:t>
            </w:r>
          </w:p>
        </w:tc>
        <w:tc>
          <w:tcPr>
            <w:tcW w:w="6245" w:type="dxa"/>
            <w:gridSpan w:val="2"/>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PERFORMANCE CRITERIA</w:t>
            </w:r>
          </w:p>
        </w:tc>
      </w:tr>
      <w:tr w:rsidTr="00BE7BC0">
        <w:tblPrEx>
          <w:tblW w:w="9497" w:type="dxa"/>
          <w:tblLayout w:type="fixed"/>
          <w:tblCellMar>
            <w:left w:w="62" w:type="dxa"/>
            <w:right w:w="62" w:type="dxa"/>
          </w:tblCellMar>
          <w:tblLook w:val="0000"/>
        </w:tblPrEx>
        <w:tc>
          <w:tcPr>
            <w:tcW w:w="3252" w:type="dxa"/>
            <w:gridSpan w:val="2"/>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Elements describe the essential outcomes.</w:t>
            </w:r>
          </w:p>
        </w:tc>
        <w:tc>
          <w:tcPr>
            <w:tcW w:w="6245" w:type="dxa"/>
            <w:gridSpan w:val="2"/>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Performance criteria describe the performance needed to demonstrate achievement of the element.</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rPr>
                <w:rStyle w:val="SpecialBold"/>
              </w:rPr>
              <w:t>1</w:t>
            </w:r>
          </w:p>
        </w:tc>
        <w:tc>
          <w:tcPr>
            <w:tcW w:w="2849"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rPr>
                <w:rStyle w:val="SpecialBold"/>
              </w:rPr>
              <w:t>Prepare for and establish extent of the audit</w:t>
            </w: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1.1</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Records system (verification dossier) is reviewed to verify that essential hazardous area documentation is</w:t>
            </w:r>
            <w:r w:rsidRPr="00BE7BC0">
              <w:t xml:space="preserve"> retained and procedures for maintaining records are established</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1.2</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Hazardous area classification processes are applied to auditing classification and design documentation including the procedures followed and verifying traceability and authentication</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1.3</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Details of any alterations/modification to the plant or processes are ascertained from consultation with responsible plant personnel</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1.4</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Type and intended location of each item of equipment and routes of wiring systems subject to audit are determ</w:t>
            </w:r>
            <w:r w:rsidRPr="00BE7BC0">
              <w:t>ined from design drawings and documentation</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1.5</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WHS policies and procedures for working in the given hazardous area are obtained and interpreted</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1.6</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Compliant tools and equipment required for the audit are obtained and checked for correct operation a</w:t>
            </w:r>
            <w:r w:rsidRPr="00BE7BC0">
              <w:t>nd safety</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rPr>
                <w:rStyle w:val="SpecialBold"/>
              </w:rPr>
              <w:t>2</w:t>
            </w:r>
          </w:p>
        </w:tc>
        <w:tc>
          <w:tcPr>
            <w:tcW w:w="2849"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rPr>
                <w:rStyle w:val="SpecialBold"/>
              </w:rPr>
              <w:t>Perform audit</w:t>
            </w: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2.1</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WHS/OHS procedures, including compliance with requirements for isolation of explosion-protected equipment and circuits, are interpreted and applied</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2.2</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Area classification documentation is examined for compliance of process, traceability and relevance to the current plant and processes</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2.3</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Electrical design documents for the installation are assessed for compliance with the relevant standards and as-in</w:t>
            </w:r>
            <w:r w:rsidRPr="00BE7BC0">
              <w:t>stalled documentation</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2.4</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Certification documentation and any repair/overhaul or compliance assessment record for item of explosion-protected equipment are assessed for compliance with requirements for the current plant and processes</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2.5</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Appropriately authorised persons are directed to open equipment enclosures as required for the audit and on completion ensure integrity of explosion-protection is restored</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2.6</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Electrical equipment and installation are audited for conformance to the design as-installed specifications and compliance with requirements of the applicable standards</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2.7</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Inspection and maintenance records are evaluated against the condition of the pl</w:t>
            </w:r>
            <w:r w:rsidRPr="00BE7BC0">
              <w:t>ant and assessed for compliance with requirements</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rPr>
                <w:rStyle w:val="SpecialBold"/>
              </w:rPr>
              <w:t>3</w:t>
            </w:r>
          </w:p>
        </w:tc>
        <w:tc>
          <w:tcPr>
            <w:tcW w:w="2849"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rPr>
                <w:rStyle w:val="SpecialBold"/>
              </w:rPr>
              <w:t>Report audit results</w:t>
            </w: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3.1</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Differences between the hazardous area documentation (verification dossier), including the as-installed design specifications and installation, are reported</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3.2</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Deficiencies and inaccuracies in site record and non-conformances of explosion-protected equipment and the installation, and recommendation for their rectification, are documented in the audit report</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3.3</w:t>
            </w:r>
          </w:p>
        </w:tc>
        <w:tc>
          <w:tcPr>
            <w:tcW w:w="5548"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The audit report is forwarded to the person respo</w:t>
            </w:r>
            <w:r w:rsidRPr="00BE7BC0">
              <w:t>nsible for actioning the recommendation/s</w:t>
            </w:r>
          </w:p>
        </w:tc>
      </w:tr>
      <w:tr w:rsidTr="00BE7B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BE7B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rPr>
                <w:rStyle w:val="SpecialBold"/>
              </w:rPr>
              <w:t>3.4</w:t>
            </w:r>
          </w:p>
        </w:tc>
        <w:tc>
          <w:tcPr>
            <w:tcW w:w="5548"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The audit report is forwarded to the person responsible for maintaining the hazardous area documentation (verification dossier)</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7" w:name="O_1243025"/>
      <w:bookmarkEnd w:id="7"/>
      <w:r w:rsidRPr="00BE7BC0">
        <w:t>Foundation Skills</w:t>
      </w:r>
    </w:p>
    <w:tbl>
      <w:tblPr>
        <w:tblW w:w="9497" w:type="dxa"/>
        <w:tblLayout w:type="fixed"/>
        <w:tblCellMar>
          <w:left w:w="62" w:type="dxa"/>
          <w:right w:w="62" w:type="dxa"/>
        </w:tblCellMar>
        <w:tblLook w:val="0000"/>
      </w:tblPr>
      <w:tblGrid>
        <w:gridCol w:w="9497"/>
      </w:tblGrid>
      <w:tr w:rsidTr="00BE7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Foundation skills essential to performan</w:t>
            </w:r>
            <w:r w:rsidRPr="00BE7BC0">
              <w:t>ce are explicit in the performance criteria of this unit of competency.</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8" w:name="O_1243026"/>
      <w:bookmarkEnd w:id="8"/>
      <w:r w:rsidRPr="00BE7BC0">
        <w:t>Range of Conditions</w:t>
      </w:r>
    </w:p>
    <w:tbl>
      <w:tblPr>
        <w:tblW w:w="9497" w:type="dxa"/>
        <w:tblLayout w:type="fixed"/>
        <w:tblCellMar>
          <w:left w:w="62" w:type="dxa"/>
          <w:right w:w="62" w:type="dxa"/>
        </w:tblCellMar>
        <w:tblLook w:val="0000"/>
      </w:tblPr>
      <w:tblGrid>
        <w:gridCol w:w="3332"/>
        <w:gridCol w:w="6165"/>
      </w:tblGrid>
      <w:tr w:rsidTr="00BE7BC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Range is restricted to essential operating conditions and any other variables essential to the work environment.</w:t>
            </w:r>
          </w:p>
          <w:p w:rsidR="00000000" w:rsidP="00BE7BC0">
            <w:pPr>
              <w:pStyle w:val="BodyText"/>
              <w:rPr>
                <w:lang w:val="en-NZ"/>
              </w:rPr>
            </w:pPr>
            <w:r w:rsidRPr="00BE7BC0">
              <w:t>Non-essential conditions may be found in the Electrotechnology Training Package Companion Volume Implementation Guide.</w:t>
            </w:r>
          </w:p>
        </w:tc>
      </w:tr>
      <w:tr w:rsidTr="00BE7BC0">
        <w:tblPrEx>
          <w:tblW w:w="9497" w:type="dxa"/>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BE7BC0">
            <w:pPr>
              <w:pStyle w:val="BodyText"/>
              <w:rPr>
                <w:lang w:val="en-NZ"/>
              </w:rPr>
            </w:pPr>
            <w:r w:rsidRPr="00BE7BC0">
              <w:t>Essential operating conditions include:</w:t>
            </w:r>
          </w:p>
        </w:tc>
        <w:tc>
          <w:tcPr>
            <w:tcW w:w="6165" w:type="dxa"/>
            <w:tcBorders>
              <w:top w:val="nil"/>
              <w:left w:val="nil"/>
              <w:bottom w:val="nil"/>
              <w:right w:val="nil"/>
            </w:tcBorders>
            <w:tcMar>
              <w:top w:w="0" w:type="dxa"/>
              <w:left w:w="62" w:type="dxa"/>
              <w:bottom w:w="0" w:type="dxa"/>
              <w:right w:w="62" w:type="dxa"/>
            </w:tcMar>
          </w:tcPr>
          <w:p w:rsidR="00000000" w:rsidRPr="00BE7BC0" w:rsidP="00BE7BC0">
            <w:pPr>
              <w:pStyle w:val="ListBullet"/>
            </w:pPr>
            <w:r w:rsidRPr="00BE7BC0">
              <w:t>an engineering office engaged in electrical design of electrical systems and installations for</w:t>
            </w:r>
            <w:r w:rsidRPr="00BE7BC0">
              <w:t xml:space="preserve"> explosive atmospheres</w:t>
            </w:r>
          </w:p>
          <w:p w:rsidR="00000000" w:rsidRPr="00BE7BC0" w:rsidP="00BE7BC0">
            <w:pPr>
              <w:pStyle w:val="ListBullet"/>
            </w:pPr>
            <w:r w:rsidRPr="00BE7BC0">
              <w:t>area classification documents</w:t>
            </w:r>
          </w:p>
          <w:p w:rsidR="00000000" w:rsidRPr="00BE7BC0" w:rsidP="00BE7BC0">
            <w:pPr>
              <w:pStyle w:val="ListBullet"/>
            </w:pPr>
            <w:r w:rsidRPr="00BE7BC0">
              <w:t>installation design</w:t>
            </w:r>
          </w:p>
          <w:p w:rsidR="00000000" w:rsidRPr="00BE7BC0" w:rsidP="00BE7BC0">
            <w:pPr>
              <w:pStyle w:val="ListBullet"/>
            </w:pPr>
            <w:r w:rsidRPr="00BE7BC0">
              <w:t>as-installed equipment</w:t>
            </w:r>
          </w:p>
          <w:p w:rsidR="00000000" w:rsidRPr="00BE7BC0" w:rsidP="00BE7BC0">
            <w:pPr>
              <w:pStyle w:val="ListBullet"/>
            </w:pPr>
            <w:r w:rsidRPr="00BE7BC0">
              <w:t>inspection and maintenance records</w:t>
            </w:r>
          </w:p>
          <w:p w:rsidR="00000000" w:rsidRPr="00BE7BC0" w:rsidP="00BE7BC0">
            <w:pPr>
              <w:pStyle w:val="ListBullet"/>
            </w:pPr>
            <w:r w:rsidRPr="00BE7BC0">
              <w:t>the hazardous area installation at the site and relevant authorised personnel</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9" w:name="O_1243027"/>
      <w:bookmarkEnd w:id="9"/>
      <w:r w:rsidRPr="00BE7BC0">
        <w:t>Unit Mapping Information</w:t>
      </w:r>
    </w:p>
    <w:tbl>
      <w:tblPr>
        <w:tblW w:w="9497" w:type="dxa"/>
        <w:tblLayout w:type="fixed"/>
        <w:tblCellMar>
          <w:left w:w="62" w:type="dxa"/>
          <w:right w:w="62" w:type="dxa"/>
        </w:tblCellMar>
        <w:tblLook w:val="0000"/>
      </w:tblPr>
      <w:tblGrid>
        <w:gridCol w:w="9497"/>
      </w:tblGrid>
      <w:tr w:rsidTr="00BE7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BC0" w:rsidP="00BE7BC0">
            <w:pPr>
              <w:pStyle w:val="BodyText"/>
            </w:pPr>
            <w:r w:rsidRPr="00BE7BC0">
              <w:t>This is a new unit.</w:t>
            </w:r>
          </w:p>
        </w:tc>
      </w:tr>
    </w:tbl>
    <w:p w:rsidR="00000000" w:rsidRPr="00BE7BC0" w:rsidP="00BE7BC0">
      <w:pPr>
        <w:pStyle w:val="NoPaddingFontSize1"/>
      </w:pPr>
    </w:p>
    <w:p w:rsidR="00000000" w:rsidRPr="00BE7BC0" w:rsidP="00BE7BC0">
      <w:pPr>
        <w:pStyle w:val="AllowPageBreak"/>
      </w:pPr>
    </w:p>
    <w:p w:rsidR="00000000" w:rsidRPr="00BE7BC0" w:rsidP="00BE7BC0">
      <w:pPr>
        <w:pStyle w:val="Heading1"/>
      </w:pPr>
      <w:bookmarkStart w:id="10" w:name="O_1243034"/>
      <w:bookmarkEnd w:id="10"/>
      <w:r w:rsidRPr="00BE7BC0">
        <w:t>Links</w:t>
      </w:r>
    </w:p>
    <w:p w:rsidR="00000000" w:rsidRPr="00BE7BC0" w:rsidP="00C20655">
      <w:pPr>
        <w:pStyle w:val="BodyText"/>
      </w:pPr>
      <w:r w:rsidRPr="00BE7BC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84E64">
        <w:rPr>
          <w:rStyle w:val="Hyperlink"/>
        </w:rPr>
        <w:t>https://vetnet.gov.au/Pages/TrainingDocs.aspx?q=b8a8f136-5421-4ce1-92e0-2b50341431b6</w:t>
      </w:r>
      <w:r>
        <w:fldChar w:fldCharType="end"/>
      </w:r>
    </w:p>
    <w:p w:rsidR="00000000" w:rsidRPr="00BE7BC0" w:rsidP="00BE7BC0"/>
    <w:sectPr w:rsidSect="00BE7B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C0" w:rsidRPr="00C20655" w:rsidP="00C20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55" w:rsidP="00BE7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655" w:rsidP="00BE7B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0655" w:rsidP="00BE7B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BC0" w:rsidRPr="00C20655" w:rsidP="00C20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55" w:rsidRPr="002D2AF8" w:rsidP="00BE7BC0">
    <w:pPr>
      <w:pStyle w:val="Header"/>
      <w:framePr w:wrap="around"/>
    </w:pPr>
    <w:r>
      <w:fldChar w:fldCharType="begin"/>
    </w:r>
    <w:r>
      <w:instrText xml:space="preserve"> TITLE   \* MERGEFORMAT </w:instrText>
    </w:r>
    <w:r>
      <w:fldChar w:fldCharType="separate"/>
    </w:r>
    <w:r>
      <w:t>UEEHA0028 Perform compliance audits of hazardous areas and related electrical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20655" w:rsidP="00BE7B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E86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661D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B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BC0"/>
    <w:pPr>
      <w:spacing w:before="360" w:after="60"/>
      <w:outlineLvl w:val="0"/>
    </w:pPr>
    <w:rPr>
      <w:sz w:val="32"/>
    </w:rPr>
  </w:style>
  <w:style w:type="paragraph" w:styleId="Heading2">
    <w:name w:val="heading 2"/>
    <w:basedOn w:val="HeadingBase"/>
    <w:next w:val="BodyText"/>
    <w:link w:val="Heading2Char"/>
    <w:qFormat/>
    <w:rsid w:val="00BE7BC0"/>
    <w:pPr>
      <w:keepLines/>
      <w:spacing w:before="240" w:after="120"/>
      <w:outlineLvl w:val="1"/>
    </w:pPr>
    <w:rPr>
      <w:sz w:val="28"/>
      <w:szCs w:val="40"/>
    </w:rPr>
  </w:style>
  <w:style w:type="paragraph" w:styleId="Heading3">
    <w:name w:val="heading 3"/>
    <w:basedOn w:val="HeadingBase"/>
    <w:next w:val="BodyText"/>
    <w:link w:val="Heading3Char"/>
    <w:qFormat/>
    <w:rsid w:val="00BE7BC0"/>
    <w:pPr>
      <w:spacing w:before="180" w:after="120"/>
      <w:outlineLvl w:val="2"/>
    </w:pPr>
    <w:rPr>
      <w:spacing w:val="-10"/>
      <w:kern w:val="32"/>
    </w:rPr>
  </w:style>
  <w:style w:type="paragraph" w:styleId="Heading4">
    <w:name w:val="heading 4"/>
    <w:basedOn w:val="HeadingBase"/>
    <w:next w:val="BodyText"/>
    <w:link w:val="Heading4Char"/>
    <w:qFormat/>
    <w:rsid w:val="00BE7BC0"/>
    <w:pPr>
      <w:spacing w:before="160" w:after="120"/>
      <w:outlineLvl w:val="3"/>
    </w:pPr>
    <w:rPr>
      <w:sz w:val="22"/>
    </w:rPr>
  </w:style>
  <w:style w:type="paragraph" w:styleId="Heading5">
    <w:name w:val="heading 5"/>
    <w:basedOn w:val="HeadingBase"/>
    <w:next w:val="Normal"/>
    <w:link w:val="Heading5Char"/>
    <w:qFormat/>
    <w:rsid w:val="00BE7BC0"/>
    <w:pPr>
      <w:spacing w:before="80"/>
      <w:outlineLvl w:val="4"/>
    </w:pPr>
    <w:rPr>
      <w:color w:val="918585"/>
      <w:sz w:val="20"/>
    </w:rPr>
  </w:style>
  <w:style w:type="paragraph" w:styleId="Heading6">
    <w:name w:val="heading 6"/>
    <w:basedOn w:val="HeadingBase"/>
    <w:next w:val="Normal"/>
    <w:link w:val="Heading6Char"/>
    <w:qFormat/>
    <w:rsid w:val="00BE7BC0"/>
    <w:pPr>
      <w:spacing w:before="60"/>
      <w:outlineLvl w:val="5"/>
    </w:pPr>
    <w:rPr>
      <w:color w:val="918585"/>
      <w:sz w:val="20"/>
    </w:rPr>
  </w:style>
  <w:style w:type="paragraph" w:styleId="Heading7">
    <w:name w:val="heading 7"/>
    <w:basedOn w:val="Normal"/>
    <w:next w:val="Normal"/>
    <w:link w:val="Heading7Char"/>
    <w:qFormat/>
    <w:rsid w:val="00BE7BC0"/>
    <w:pPr>
      <w:ind w:left="720"/>
      <w:outlineLvl w:val="6"/>
    </w:pPr>
    <w:rPr>
      <w:i/>
    </w:rPr>
  </w:style>
  <w:style w:type="paragraph" w:styleId="Heading8">
    <w:name w:val="heading 8"/>
    <w:basedOn w:val="Normal"/>
    <w:next w:val="Normal"/>
    <w:link w:val="Heading8Char"/>
    <w:qFormat/>
    <w:rsid w:val="00BE7BC0"/>
    <w:pPr>
      <w:ind w:left="720"/>
      <w:outlineLvl w:val="7"/>
    </w:pPr>
    <w:rPr>
      <w:i/>
    </w:rPr>
  </w:style>
  <w:style w:type="paragraph" w:styleId="Heading9">
    <w:name w:val="heading 9"/>
    <w:basedOn w:val="Normal"/>
    <w:next w:val="Normal"/>
    <w:link w:val="Heading9Char"/>
    <w:qFormat/>
    <w:rsid w:val="00BE7BC0"/>
    <w:pPr>
      <w:ind w:left="720"/>
      <w:outlineLvl w:val="8"/>
    </w:pPr>
    <w:rPr>
      <w:i/>
    </w:rPr>
  </w:style>
  <w:style w:type="character" w:default="1" w:styleId="DefaultParagraphFont">
    <w:name w:val="Default Paragraph Font"/>
    <w:uiPriority w:val="1"/>
    <w:unhideWhenUsed/>
    <w:rsid w:val="00BE7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BC0"/>
  </w:style>
  <w:style w:type="character" w:customStyle="1" w:styleId="Heading1Char">
    <w:name w:val="Heading 1 Char"/>
    <w:basedOn w:val="DefaultParagraphFont"/>
    <w:link w:val="Heading1"/>
    <w:rsid w:val="00BE7BC0"/>
    <w:rPr>
      <w:rFonts w:ascii="Times New Roman" w:eastAsia="Times New Roman" w:hAnsi="Times New Roman" w:cs="Times New Roman"/>
      <w:b/>
      <w:sz w:val="32"/>
      <w:szCs w:val="20"/>
      <w:lang w:eastAsia="en-US"/>
    </w:rPr>
  </w:style>
  <w:style w:type="paragraph" w:styleId="BodyText">
    <w:name w:val="Body Text"/>
    <w:basedOn w:val="Normal"/>
    <w:link w:val="BodyTextChar"/>
    <w:rsid w:val="00BE7B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BC0"/>
    <w:rPr>
      <w:rFonts w:ascii="Times New Roman" w:eastAsia="Times New Roman" w:hAnsi="Times New Roman" w:cs="Times New Roman"/>
      <w:sz w:val="24"/>
      <w:lang w:eastAsia="en-US"/>
    </w:rPr>
  </w:style>
  <w:style w:type="paragraph" w:styleId="ListBullet">
    <w:name w:val="List Bullet"/>
    <w:basedOn w:val="List"/>
    <w:rsid w:val="00BE7BC0"/>
    <w:pPr>
      <w:numPr>
        <w:numId w:val="11"/>
      </w:numPr>
      <w:tabs>
        <w:tab w:val="clear" w:pos="340"/>
      </w:tabs>
      <w:spacing w:before="40" w:after="40"/>
    </w:pPr>
  </w:style>
  <w:style w:type="character" w:customStyle="1" w:styleId="SpecialBold">
    <w:name w:val="Special Bold"/>
    <w:basedOn w:val="DefaultParagraphFont"/>
    <w:rsid w:val="00BE7BC0"/>
    <w:rPr>
      <w:b/>
      <w:spacing w:val="0"/>
    </w:rPr>
  </w:style>
  <w:style w:type="paragraph" w:customStyle="1" w:styleId="SuperHeading">
    <w:name w:val="SuperHeading"/>
    <w:basedOn w:val="Normal"/>
    <w:rsid w:val="00BE7BC0"/>
    <w:pPr>
      <w:spacing w:before="240" w:after="120"/>
      <w:outlineLvl w:val="0"/>
    </w:pPr>
    <w:rPr>
      <w:rFonts w:ascii="Times New Roman" w:hAnsi="Times New Roman"/>
      <w:b/>
      <w:sz w:val="32"/>
    </w:rPr>
  </w:style>
  <w:style w:type="paragraph" w:customStyle="1" w:styleId="AllowPageBreak">
    <w:name w:val="AllowPageBreak"/>
    <w:rsid w:val="00BE7B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7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B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B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BC0"/>
    <w:rPr>
      <w:rFonts w:ascii="Courier New" w:eastAsia="Times New Roman" w:hAnsi="Courier New" w:cs="Times New Roman"/>
      <w:i/>
      <w:szCs w:val="20"/>
      <w:lang w:eastAsia="en-US"/>
    </w:rPr>
  </w:style>
  <w:style w:type="paragraph" w:customStyle="1" w:styleId="HeadingBase">
    <w:name w:val="Heading Base"/>
    <w:rsid w:val="00BE7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BC0"/>
    <w:pPr>
      <w:tabs>
        <w:tab w:val="right" w:leader="dot" w:pos="9072"/>
      </w:tabs>
      <w:ind w:left="567"/>
    </w:pPr>
    <w:rPr>
      <w:szCs w:val="22"/>
    </w:rPr>
  </w:style>
  <w:style w:type="paragraph" w:customStyle="1" w:styleId="TOCBase">
    <w:name w:val="TOC Base"/>
    <w:rsid w:val="00BE7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BC0"/>
    <w:pPr>
      <w:tabs>
        <w:tab w:val="right" w:leader="dot" w:pos="9072"/>
      </w:tabs>
      <w:spacing w:before="40" w:after="40"/>
      <w:ind w:left="284"/>
    </w:pPr>
    <w:rPr>
      <w:rFonts w:ascii="Times New Roman" w:hAnsi="Times New Roman"/>
    </w:rPr>
  </w:style>
  <w:style w:type="paragraph" w:styleId="TOC1">
    <w:name w:val="toc 1"/>
    <w:basedOn w:val="TOCBase"/>
    <w:next w:val="Normal"/>
    <w:rsid w:val="00BE7B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BC0"/>
    <w:rPr>
      <w:rFonts w:ascii="Times New Roman" w:eastAsia="Times New Roman" w:hAnsi="Times New Roman" w:cs="Times New Roman"/>
      <w:sz w:val="16"/>
      <w:lang w:eastAsia="en-US"/>
    </w:rPr>
  </w:style>
  <w:style w:type="paragraph" w:styleId="Title">
    <w:name w:val="Title"/>
    <w:basedOn w:val="HeadingBase"/>
    <w:link w:val="TitleChar"/>
    <w:qFormat/>
    <w:rsid w:val="00BE7BC0"/>
    <w:pPr>
      <w:spacing w:before="5040"/>
      <w:jc w:val="center"/>
    </w:pPr>
    <w:rPr>
      <w:sz w:val="48"/>
      <w:szCs w:val="72"/>
      <w:lang w:val="en-US"/>
    </w:rPr>
  </w:style>
  <w:style w:type="character" w:customStyle="1" w:styleId="TitleChar">
    <w:name w:val="Title Char"/>
    <w:basedOn w:val="DefaultParagraphFont"/>
    <w:link w:val="Title"/>
    <w:rsid w:val="00BE7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BC0"/>
    <w:pPr>
      <w:tabs>
        <w:tab w:val="left" w:pos="3600"/>
        <w:tab w:val="left" w:pos="3958"/>
      </w:tabs>
    </w:pPr>
  </w:style>
  <w:style w:type="paragraph" w:styleId="List">
    <w:name w:val="List"/>
    <w:basedOn w:val="BodyText"/>
    <w:next w:val="BodyText"/>
    <w:rsid w:val="00BE7BC0"/>
    <w:pPr>
      <w:tabs>
        <w:tab w:val="left" w:pos="340"/>
      </w:tabs>
      <w:spacing w:before="60" w:after="60"/>
      <w:ind w:left="340" w:hanging="340"/>
    </w:pPr>
  </w:style>
  <w:style w:type="paragraph" w:customStyle="1" w:styleId="Note">
    <w:name w:val="Note"/>
    <w:basedOn w:val="BodyText"/>
    <w:rsid w:val="00BE7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BC0"/>
    <w:pPr>
      <w:framePr w:wrap="auto" w:hAnchor="text" w:y="6049"/>
    </w:pPr>
    <w:rPr>
      <w:color w:val="000000"/>
      <w:sz w:val="40"/>
    </w:rPr>
  </w:style>
  <w:style w:type="paragraph" w:customStyle="1" w:styleId="TOCTitle">
    <w:name w:val="TOCTitle"/>
    <w:basedOn w:val="Heading1"/>
    <w:rsid w:val="00BE7BC0"/>
    <w:pPr>
      <w:spacing w:after="240"/>
      <w:jc w:val="center"/>
      <w:outlineLvl w:val="9"/>
    </w:pPr>
    <w:rPr>
      <w:caps/>
    </w:rPr>
  </w:style>
  <w:style w:type="paragraph" w:customStyle="1" w:styleId="Version">
    <w:name w:val="Version"/>
    <w:rsid w:val="00BE7B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BC0"/>
    <w:pPr>
      <w:numPr>
        <w:numId w:val="12"/>
      </w:numPr>
      <w:tabs>
        <w:tab w:val="clear" w:pos="680"/>
      </w:tabs>
    </w:pPr>
  </w:style>
  <w:style w:type="paragraph" w:styleId="Index1">
    <w:name w:val="index 1"/>
    <w:basedOn w:val="Normal"/>
    <w:next w:val="Normal"/>
    <w:semiHidden/>
    <w:rsid w:val="00BE7BC0"/>
    <w:pPr>
      <w:keepNext w:val="0"/>
      <w:tabs>
        <w:tab w:val="right" w:pos="4176"/>
      </w:tabs>
      <w:ind w:left="198" w:hanging="198"/>
    </w:pPr>
    <w:rPr>
      <w:rFonts w:ascii="Garamond" w:hAnsi="Garamond"/>
    </w:rPr>
  </w:style>
  <w:style w:type="paragraph" w:styleId="IndexHeading">
    <w:name w:val="index heading"/>
    <w:basedOn w:val="Normal"/>
    <w:next w:val="Index1"/>
    <w:semiHidden/>
    <w:rsid w:val="00BE7BC0"/>
    <w:pPr>
      <w:spacing w:before="120" w:after="120"/>
    </w:pPr>
    <w:rPr>
      <w:rFonts w:ascii="Arial" w:hAnsi="Arial"/>
      <w:b/>
      <w:color w:val="918585"/>
      <w:sz w:val="24"/>
    </w:rPr>
  </w:style>
  <w:style w:type="paragraph" w:styleId="Header">
    <w:name w:val="header"/>
    <w:basedOn w:val="Normal"/>
    <w:link w:val="HeaderChar"/>
    <w:rsid w:val="00BE7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BC0"/>
    <w:rPr>
      <w:rFonts w:ascii="Times New Roman" w:eastAsia="Times New Roman" w:hAnsi="Times New Roman" w:cs="Times New Roman"/>
      <w:sz w:val="16"/>
      <w:szCs w:val="20"/>
      <w:lang w:val="en-GB" w:eastAsia="en-US"/>
    </w:rPr>
  </w:style>
  <w:style w:type="paragraph" w:customStyle="1" w:styleId="Chapter">
    <w:name w:val="Chapter"/>
    <w:basedOn w:val="Normal"/>
    <w:rsid w:val="00BE7BC0"/>
    <w:pPr>
      <w:spacing w:before="240"/>
    </w:pPr>
    <w:rPr>
      <w:rFonts w:ascii="Times New Roman" w:hAnsi="Times New Roman"/>
      <w:smallCaps/>
      <w:spacing w:val="80"/>
      <w:sz w:val="28"/>
    </w:rPr>
  </w:style>
  <w:style w:type="paragraph" w:customStyle="1" w:styleId="InChapter">
    <w:name w:val="InChapter"/>
    <w:basedOn w:val="Heading3"/>
    <w:rsid w:val="00BE7BC0"/>
    <w:pPr>
      <w:spacing w:after="240"/>
      <w:outlineLvl w:val="9"/>
    </w:pPr>
    <w:rPr>
      <w:noProof/>
    </w:rPr>
  </w:style>
  <w:style w:type="paragraph" w:styleId="Index2">
    <w:name w:val="index 2"/>
    <w:basedOn w:val="Normal"/>
    <w:next w:val="Normal"/>
    <w:semiHidden/>
    <w:rsid w:val="00BE7BC0"/>
    <w:pPr>
      <w:tabs>
        <w:tab w:val="right" w:pos="4176"/>
      </w:tabs>
      <w:ind w:left="568" w:hanging="284"/>
    </w:pPr>
    <w:rPr>
      <w:rFonts w:ascii="Garamond" w:hAnsi="Garamond"/>
    </w:rPr>
  </w:style>
  <w:style w:type="paragraph" w:customStyle="1" w:styleId="Byline">
    <w:name w:val="Byline"/>
    <w:rsid w:val="00BE7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BC0"/>
    <w:pPr>
      <w:tabs>
        <w:tab w:val="clear" w:pos="3600"/>
        <w:tab w:val="clear" w:pos="3958"/>
      </w:tabs>
      <w:jc w:val="right"/>
    </w:pPr>
  </w:style>
  <w:style w:type="character" w:styleId="Emphasis">
    <w:name w:val="Emphasis"/>
    <w:basedOn w:val="DefaultParagraphFont"/>
    <w:qFormat/>
    <w:rsid w:val="00BE7BC0"/>
    <w:rPr>
      <w:i/>
    </w:rPr>
  </w:style>
  <w:style w:type="paragraph" w:styleId="Caption">
    <w:name w:val="caption"/>
    <w:basedOn w:val="BodyText"/>
    <w:next w:val="Normal"/>
    <w:qFormat/>
    <w:rsid w:val="00BE7BC0"/>
    <w:pPr>
      <w:framePr w:w="2268" w:hSpace="181" w:vSpace="181" w:wrap="around" w:vAnchor="text" w:hAnchor="page" w:x="1135" w:y="285" w:anchorLock="1"/>
    </w:pPr>
    <w:rPr>
      <w:i/>
    </w:rPr>
  </w:style>
  <w:style w:type="paragraph" w:customStyle="1" w:styleId="MiniTOCTitle">
    <w:name w:val="MiniTOCTitle"/>
    <w:basedOn w:val="Heading4"/>
    <w:rsid w:val="00BE7BC0"/>
    <w:pPr>
      <w:spacing w:before="240"/>
      <w:outlineLvl w:val="9"/>
    </w:pPr>
    <w:rPr>
      <w:noProof/>
      <w:sz w:val="24"/>
    </w:rPr>
  </w:style>
  <w:style w:type="paragraph" w:customStyle="1" w:styleId="MiniTOCItem">
    <w:name w:val="MiniTOCItem"/>
    <w:basedOn w:val="ListBullet"/>
    <w:rsid w:val="00BE7BC0"/>
    <w:pPr>
      <w:numPr>
        <w:numId w:val="0"/>
      </w:numPr>
      <w:tabs>
        <w:tab w:val="right" w:leader="dot" w:pos="6521"/>
      </w:tabs>
      <w:spacing w:before="0" w:after="0"/>
    </w:pPr>
  </w:style>
  <w:style w:type="paragraph" w:customStyle="1" w:styleId="TOFTitle">
    <w:name w:val="TOFTitle"/>
    <w:basedOn w:val="TOCTitle"/>
    <w:rsid w:val="00BE7BC0"/>
  </w:style>
  <w:style w:type="paragraph" w:styleId="TableofFigures">
    <w:name w:val="table of figures"/>
    <w:basedOn w:val="Normal"/>
    <w:next w:val="Normal"/>
    <w:semiHidden/>
    <w:rsid w:val="00BE7BC0"/>
    <w:pPr>
      <w:tabs>
        <w:tab w:val="right" w:leader="dot" w:pos="9072"/>
      </w:tabs>
      <w:ind w:left="970" w:hanging="403"/>
    </w:pPr>
    <w:rPr>
      <w:rFonts w:ascii="Times New Roman" w:hAnsi="Times New Roman"/>
      <w:b/>
    </w:rPr>
  </w:style>
  <w:style w:type="paragraph" w:styleId="ListNumber">
    <w:name w:val="List Number"/>
    <w:basedOn w:val="List"/>
    <w:rsid w:val="00BE7BC0"/>
    <w:pPr>
      <w:numPr>
        <w:numId w:val="14"/>
      </w:numPr>
      <w:tabs>
        <w:tab w:val="clear" w:pos="340"/>
      </w:tabs>
    </w:pPr>
  </w:style>
  <w:style w:type="character" w:customStyle="1" w:styleId="WingdingSymbols">
    <w:name w:val="Wingding Symbols"/>
    <w:rsid w:val="00BE7BC0"/>
    <w:rPr>
      <w:rFonts w:ascii="Wingdings" w:hAnsi="Wingdings"/>
    </w:rPr>
  </w:style>
  <w:style w:type="paragraph" w:customStyle="1" w:styleId="TableHeading">
    <w:name w:val="Table Heading"/>
    <w:basedOn w:val="HeadingBase"/>
    <w:rsid w:val="00BE7BC0"/>
    <w:pPr>
      <w:keepLines/>
      <w:pBdr>
        <w:bottom w:val="single" w:sz="6" w:space="1" w:color="918585"/>
      </w:pBdr>
      <w:spacing w:before="240"/>
    </w:pPr>
  </w:style>
  <w:style w:type="character" w:customStyle="1" w:styleId="HotSpot">
    <w:name w:val="HotSpot"/>
    <w:rsid w:val="00BE7BC0"/>
    <w:rPr>
      <w:color w:val="0033CC"/>
      <w:u w:val="none"/>
    </w:rPr>
  </w:style>
  <w:style w:type="paragraph" w:customStyle="1" w:styleId="BodyTextRight">
    <w:name w:val="Body Text Right"/>
    <w:basedOn w:val="BodyText"/>
    <w:rsid w:val="00BE7BC0"/>
    <w:pPr>
      <w:spacing w:before="0" w:after="0"/>
      <w:jc w:val="right"/>
    </w:pPr>
  </w:style>
  <w:style w:type="paragraph" w:styleId="Index3">
    <w:name w:val="index 3"/>
    <w:basedOn w:val="ListNumber2"/>
    <w:next w:val="Normal"/>
    <w:semiHidden/>
    <w:rsid w:val="00BE7BC0"/>
    <w:pPr>
      <w:numPr>
        <w:numId w:val="0"/>
      </w:numPr>
      <w:tabs>
        <w:tab w:val="right" w:leader="dot" w:pos="4176"/>
      </w:tabs>
    </w:pPr>
  </w:style>
  <w:style w:type="paragraph" w:styleId="ListNumber2">
    <w:name w:val="List Number 2"/>
    <w:basedOn w:val="List2"/>
    <w:rsid w:val="00BE7BC0"/>
    <w:pPr>
      <w:numPr>
        <w:numId w:val="9"/>
      </w:numPr>
      <w:tabs>
        <w:tab w:val="clear" w:pos="1060"/>
      </w:tabs>
    </w:pPr>
  </w:style>
  <w:style w:type="paragraph" w:customStyle="1" w:styleId="MarginNote">
    <w:name w:val="Margin Note"/>
    <w:basedOn w:val="BodyText"/>
    <w:rsid w:val="00BE7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B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BC0"/>
    <w:rPr>
      <w:sz w:val="32"/>
    </w:rPr>
  </w:style>
  <w:style w:type="paragraph" w:customStyle="1" w:styleId="HeadingProcedure">
    <w:name w:val="Heading Procedure"/>
    <w:basedOn w:val="HeadingBase"/>
    <w:next w:val="Normal"/>
    <w:rsid w:val="00BE7BC0"/>
    <w:pPr>
      <w:tabs>
        <w:tab w:val="left" w:pos="0"/>
      </w:tabs>
      <w:spacing w:before="120" w:after="60"/>
    </w:pPr>
    <w:rPr>
      <w:i/>
      <w:color w:val="918585"/>
      <w:sz w:val="22"/>
    </w:rPr>
  </w:style>
  <w:style w:type="paragraph" w:customStyle="1" w:styleId="TableBodyText">
    <w:name w:val="Table Body Text"/>
    <w:basedOn w:val="BodyText"/>
    <w:rsid w:val="00BE7BC0"/>
    <w:pPr>
      <w:spacing w:before="60" w:after="60"/>
    </w:pPr>
  </w:style>
  <w:style w:type="paragraph" w:styleId="ListContinue">
    <w:name w:val="List Continue"/>
    <w:basedOn w:val="List"/>
    <w:rsid w:val="00BE7BC0"/>
    <w:pPr>
      <w:ind w:firstLine="0"/>
    </w:pPr>
  </w:style>
  <w:style w:type="paragraph" w:customStyle="1" w:styleId="ListNote">
    <w:name w:val="List Note"/>
    <w:basedOn w:val="List"/>
    <w:rsid w:val="00BE7BC0"/>
    <w:pPr>
      <w:pBdr>
        <w:top w:val="single" w:sz="6" w:space="2" w:color="918585"/>
        <w:bottom w:val="single" w:sz="6" w:space="2" w:color="918585"/>
      </w:pBdr>
      <w:tabs>
        <w:tab w:val="left" w:pos="1021"/>
      </w:tabs>
      <w:ind w:firstLine="0"/>
    </w:pPr>
  </w:style>
  <w:style w:type="paragraph" w:customStyle="1" w:styleId="Warning">
    <w:name w:val="Warning"/>
    <w:basedOn w:val="BodyText"/>
    <w:rsid w:val="00BE7BC0"/>
    <w:pPr>
      <w:shd w:val="clear" w:color="auto" w:fill="D9D9D9"/>
      <w:tabs>
        <w:tab w:val="left" w:pos="992"/>
      </w:tabs>
      <w:ind w:left="119" w:right="119"/>
    </w:pPr>
    <w:rPr>
      <w:sz w:val="20"/>
    </w:rPr>
  </w:style>
  <w:style w:type="paragraph" w:customStyle="1" w:styleId="MarginIcons">
    <w:name w:val="Margin Icons"/>
    <w:basedOn w:val="BodyText"/>
    <w:rsid w:val="00BE7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BC0"/>
    <w:rPr>
      <w:rFonts w:ascii="Courier New" w:hAnsi="Courier New"/>
    </w:rPr>
  </w:style>
  <w:style w:type="paragraph" w:customStyle="1" w:styleId="NoteBullet">
    <w:name w:val="Note Bullet"/>
    <w:basedOn w:val="Note"/>
    <w:rsid w:val="00BE7BC0"/>
    <w:pPr>
      <w:tabs>
        <w:tab w:val="clear" w:pos="680"/>
      </w:tabs>
      <w:spacing w:before="60" w:after="60"/>
    </w:pPr>
  </w:style>
  <w:style w:type="paragraph" w:customStyle="1" w:styleId="SubHeading2">
    <w:name w:val="SubHeading2"/>
    <w:basedOn w:val="HeadingBase"/>
    <w:rsid w:val="00BE7BC0"/>
    <w:pPr>
      <w:spacing w:before="240" w:after="60"/>
    </w:pPr>
    <w:rPr>
      <w:sz w:val="20"/>
    </w:rPr>
  </w:style>
  <w:style w:type="paragraph" w:customStyle="1" w:styleId="SubHeading1">
    <w:name w:val="SubHeading1"/>
    <w:basedOn w:val="HeadingBase"/>
    <w:rsid w:val="00BE7BC0"/>
    <w:pPr>
      <w:spacing w:before="240" w:after="60"/>
    </w:pPr>
    <w:rPr>
      <w:color w:val="918585"/>
      <w:sz w:val="22"/>
    </w:rPr>
  </w:style>
  <w:style w:type="paragraph" w:customStyle="1" w:styleId="SideHeading">
    <w:name w:val="Side Heading"/>
    <w:basedOn w:val="HeadingBase"/>
    <w:rsid w:val="00BE7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BC0"/>
    <w:pPr>
      <w:numPr>
        <w:numId w:val="10"/>
      </w:numPr>
    </w:pPr>
  </w:style>
  <w:style w:type="paragraph" w:styleId="PlainText">
    <w:name w:val="Plain Text"/>
    <w:basedOn w:val="Normal"/>
    <w:link w:val="PlainTextChar"/>
    <w:rsid w:val="00BE7BC0"/>
    <w:rPr>
      <w:sz w:val="20"/>
    </w:rPr>
  </w:style>
  <w:style w:type="character" w:customStyle="1" w:styleId="PlainTextChar">
    <w:name w:val="Plain Text Char"/>
    <w:basedOn w:val="DefaultParagraphFont"/>
    <w:link w:val="PlainText"/>
    <w:rsid w:val="00BE7BC0"/>
    <w:rPr>
      <w:rFonts w:ascii="Courier New" w:eastAsia="Times New Roman" w:hAnsi="Courier New" w:cs="Times New Roman"/>
      <w:sz w:val="20"/>
      <w:szCs w:val="20"/>
      <w:lang w:eastAsia="en-US"/>
    </w:rPr>
  </w:style>
  <w:style w:type="character" w:customStyle="1" w:styleId="MenuOption">
    <w:name w:val="Menu Option"/>
    <w:basedOn w:val="DefaultParagraphFont"/>
    <w:rsid w:val="00BE7BC0"/>
    <w:rPr>
      <w:b/>
      <w:smallCaps/>
    </w:rPr>
  </w:style>
  <w:style w:type="paragraph" w:customStyle="1" w:styleId="TableListNumber">
    <w:name w:val="Table List Number"/>
    <w:basedOn w:val="ListNumber"/>
    <w:rsid w:val="00BE7BC0"/>
    <w:pPr>
      <w:numPr>
        <w:numId w:val="0"/>
      </w:numPr>
    </w:pPr>
  </w:style>
  <w:style w:type="paragraph" w:styleId="TOC4">
    <w:name w:val="toc 4"/>
    <w:basedOn w:val="TOCBase"/>
    <w:next w:val="Normal"/>
    <w:semiHidden/>
    <w:rsid w:val="00BE7BC0"/>
    <w:pPr>
      <w:tabs>
        <w:tab w:val="right" w:leader="dot" w:pos="9071"/>
      </w:tabs>
      <w:ind w:left="1701"/>
    </w:pPr>
  </w:style>
  <w:style w:type="paragraph" w:customStyle="1" w:styleId="ListAlpha">
    <w:name w:val="List Alpha"/>
    <w:basedOn w:val="List"/>
    <w:rsid w:val="00BE7BC0"/>
    <w:pPr>
      <w:numPr>
        <w:numId w:val="8"/>
      </w:numPr>
    </w:pPr>
  </w:style>
  <w:style w:type="paragraph" w:customStyle="1" w:styleId="ListAlpha2">
    <w:name w:val="List Alpha 2"/>
    <w:basedOn w:val="List2"/>
    <w:rsid w:val="00BE7BC0"/>
    <w:pPr>
      <w:numPr>
        <w:numId w:val="7"/>
      </w:numPr>
    </w:pPr>
  </w:style>
  <w:style w:type="paragraph" w:styleId="List2">
    <w:name w:val="List 2"/>
    <w:basedOn w:val="BodyText"/>
    <w:rsid w:val="00BE7BC0"/>
    <w:pPr>
      <w:tabs>
        <w:tab w:val="left" w:pos="680"/>
      </w:tabs>
      <w:spacing w:before="60" w:after="60"/>
      <w:ind w:left="680" w:hanging="340"/>
    </w:pPr>
  </w:style>
  <w:style w:type="paragraph" w:styleId="List3">
    <w:name w:val="List 3"/>
    <w:basedOn w:val="BodyText"/>
    <w:rsid w:val="00BE7BC0"/>
    <w:pPr>
      <w:tabs>
        <w:tab w:val="left" w:pos="1021"/>
      </w:tabs>
      <w:spacing w:before="60" w:after="60"/>
      <w:ind w:left="1020" w:hanging="340"/>
    </w:pPr>
  </w:style>
  <w:style w:type="paragraph" w:styleId="List4">
    <w:name w:val="List 4"/>
    <w:basedOn w:val="BodyText"/>
    <w:rsid w:val="00BE7BC0"/>
    <w:pPr>
      <w:tabs>
        <w:tab w:val="left" w:pos="1361"/>
      </w:tabs>
      <w:spacing w:before="60" w:after="60"/>
      <w:ind w:left="1361" w:hanging="340"/>
    </w:pPr>
  </w:style>
  <w:style w:type="paragraph" w:styleId="List5">
    <w:name w:val="List 5"/>
    <w:basedOn w:val="BodyText"/>
    <w:rsid w:val="00BE7BC0"/>
    <w:pPr>
      <w:tabs>
        <w:tab w:val="left" w:pos="1701"/>
      </w:tabs>
      <w:spacing w:before="60" w:after="60"/>
      <w:ind w:left="1701" w:hanging="340"/>
    </w:pPr>
  </w:style>
  <w:style w:type="paragraph" w:styleId="ListBullet3">
    <w:name w:val="List Bullet 3"/>
    <w:basedOn w:val="List3"/>
    <w:rsid w:val="00BE7BC0"/>
    <w:pPr>
      <w:numPr>
        <w:numId w:val="13"/>
      </w:numPr>
      <w:tabs>
        <w:tab w:val="clear" w:pos="1021"/>
      </w:tabs>
      <w:ind w:left="1037" w:hanging="357"/>
    </w:pPr>
  </w:style>
  <w:style w:type="paragraph" w:styleId="ListBullet4">
    <w:name w:val="List Bullet 4"/>
    <w:basedOn w:val="List4"/>
    <w:rsid w:val="00BE7BC0"/>
    <w:pPr>
      <w:numPr>
        <w:numId w:val="2"/>
      </w:numPr>
      <w:tabs>
        <w:tab w:val="clear" w:pos="1361"/>
      </w:tabs>
    </w:pPr>
  </w:style>
  <w:style w:type="paragraph" w:styleId="ListBullet5">
    <w:name w:val="List Bullet 5"/>
    <w:basedOn w:val="List5"/>
    <w:rsid w:val="00BE7BC0"/>
    <w:pPr>
      <w:numPr>
        <w:numId w:val="3"/>
      </w:numPr>
    </w:pPr>
  </w:style>
  <w:style w:type="paragraph" w:styleId="ListContinue2">
    <w:name w:val="List Continue 2"/>
    <w:basedOn w:val="List2"/>
    <w:rsid w:val="00BE7BC0"/>
    <w:pPr>
      <w:ind w:firstLine="0"/>
    </w:pPr>
  </w:style>
  <w:style w:type="paragraph" w:styleId="ListContinue3">
    <w:name w:val="List Continue 3"/>
    <w:basedOn w:val="List3"/>
    <w:rsid w:val="00BE7BC0"/>
    <w:pPr>
      <w:ind w:left="1021" w:firstLine="0"/>
    </w:pPr>
  </w:style>
  <w:style w:type="paragraph" w:styleId="ListContinue4">
    <w:name w:val="List Continue 4"/>
    <w:basedOn w:val="List4"/>
    <w:rsid w:val="00BE7BC0"/>
    <w:pPr>
      <w:ind w:firstLine="0"/>
    </w:pPr>
  </w:style>
  <w:style w:type="paragraph" w:styleId="ListContinue5">
    <w:name w:val="List Continue 5"/>
    <w:basedOn w:val="List5"/>
    <w:rsid w:val="00BE7BC0"/>
    <w:pPr>
      <w:ind w:firstLine="0"/>
    </w:pPr>
  </w:style>
  <w:style w:type="paragraph" w:styleId="ListNumber3">
    <w:name w:val="List Number 3"/>
    <w:basedOn w:val="List3"/>
    <w:rsid w:val="00BE7BC0"/>
    <w:pPr>
      <w:numPr>
        <w:numId w:val="4"/>
      </w:numPr>
    </w:pPr>
  </w:style>
  <w:style w:type="paragraph" w:styleId="ListNumber4">
    <w:name w:val="List Number 4"/>
    <w:basedOn w:val="List4"/>
    <w:rsid w:val="00BE7BC0"/>
    <w:pPr>
      <w:numPr>
        <w:numId w:val="5"/>
      </w:numPr>
    </w:pPr>
  </w:style>
  <w:style w:type="paragraph" w:styleId="ListNumber5">
    <w:name w:val="List Number 5"/>
    <w:basedOn w:val="List5"/>
    <w:rsid w:val="00BE7BC0"/>
    <w:pPr>
      <w:numPr>
        <w:numId w:val="6"/>
      </w:numPr>
    </w:pPr>
  </w:style>
  <w:style w:type="paragraph" w:styleId="BlockText">
    <w:name w:val="Block Text"/>
    <w:basedOn w:val="Normal"/>
    <w:rsid w:val="00BE7BC0"/>
    <w:pPr>
      <w:spacing w:after="120"/>
      <w:ind w:left="1440" w:right="1440"/>
    </w:pPr>
  </w:style>
  <w:style w:type="character" w:customStyle="1" w:styleId="Subscript">
    <w:name w:val="Subscript"/>
    <w:basedOn w:val="DefaultParagraphFont"/>
    <w:rsid w:val="00BE7BC0"/>
    <w:rPr>
      <w:sz w:val="16"/>
      <w:vertAlign w:val="subscript"/>
    </w:rPr>
  </w:style>
  <w:style w:type="character" w:customStyle="1" w:styleId="Superscript">
    <w:name w:val="Superscript"/>
    <w:basedOn w:val="DefaultParagraphFont"/>
    <w:rsid w:val="00BE7BC0"/>
    <w:rPr>
      <w:sz w:val="16"/>
      <w:vertAlign w:val="superscript"/>
    </w:rPr>
  </w:style>
  <w:style w:type="character" w:customStyle="1" w:styleId="Symbols">
    <w:name w:val="Symbols"/>
    <w:basedOn w:val="DefaultParagraphFont"/>
    <w:rsid w:val="00BE7BC0"/>
    <w:rPr>
      <w:rFonts w:ascii="Symbol" w:hAnsi="Symbol"/>
    </w:rPr>
  </w:style>
  <w:style w:type="character" w:customStyle="1" w:styleId="MenuOptions">
    <w:name w:val="Menu Options"/>
    <w:basedOn w:val="DefaultParagraphFont"/>
    <w:rsid w:val="00BE7BC0"/>
    <w:rPr>
      <w:rFonts w:ascii="Arial Narrow" w:hAnsi="Arial Narrow"/>
      <w:smallCaps/>
    </w:rPr>
  </w:style>
  <w:style w:type="character" w:customStyle="1" w:styleId="Buttons">
    <w:name w:val="Buttons"/>
    <w:basedOn w:val="DefaultParagraphFont"/>
    <w:rsid w:val="00BE7BC0"/>
    <w:rPr>
      <w:b/>
    </w:rPr>
  </w:style>
  <w:style w:type="character" w:customStyle="1" w:styleId="Underlined">
    <w:name w:val="Underlined"/>
    <w:basedOn w:val="DefaultParagraphFont"/>
    <w:rsid w:val="00BE7BC0"/>
    <w:rPr>
      <w:u w:val="single"/>
    </w:rPr>
  </w:style>
  <w:style w:type="paragraph" w:customStyle="1" w:styleId="TableBodyTextRight">
    <w:name w:val="Table Body Text Right"/>
    <w:basedOn w:val="TableBodyText"/>
    <w:rsid w:val="00BE7BC0"/>
    <w:pPr>
      <w:widowControl w:val="0"/>
      <w:autoSpaceDE w:val="0"/>
      <w:autoSpaceDN w:val="0"/>
      <w:adjustRightInd w:val="0"/>
      <w:jc w:val="right"/>
    </w:pPr>
    <w:rPr>
      <w:rFonts w:cs="Arial"/>
      <w:szCs w:val="18"/>
    </w:rPr>
  </w:style>
  <w:style w:type="paragraph" w:customStyle="1" w:styleId="CopyrightText">
    <w:name w:val="Copyright Text"/>
    <w:basedOn w:val="BodyText"/>
    <w:rsid w:val="00BE7BC0"/>
    <w:rPr>
      <w:sz w:val="18"/>
    </w:rPr>
  </w:style>
  <w:style w:type="paragraph" w:customStyle="1" w:styleId="BodySmallRight">
    <w:name w:val="Body Small Right"/>
    <w:basedOn w:val="BodyTextRight"/>
    <w:rsid w:val="00BE7BC0"/>
    <w:rPr>
      <w:sz w:val="18"/>
      <w:szCs w:val="18"/>
    </w:rPr>
  </w:style>
  <w:style w:type="paragraph" w:customStyle="1" w:styleId="MarginEdition">
    <w:name w:val="Margin Edition"/>
    <w:basedOn w:val="MarginNote"/>
    <w:rsid w:val="00BE7BC0"/>
    <w:pPr>
      <w:spacing w:before="0" w:after="0"/>
    </w:pPr>
    <w:rPr>
      <w:rFonts w:ascii="Times New Roman" w:hAnsi="Times New Roman"/>
      <w:color w:val="999999"/>
    </w:rPr>
  </w:style>
  <w:style w:type="paragraph" w:customStyle="1" w:styleId="Spacer">
    <w:name w:val="Spacer"/>
    <w:basedOn w:val="Normal"/>
    <w:rsid w:val="00BE7BC0"/>
    <w:rPr>
      <w:sz w:val="2"/>
      <w:szCs w:val="2"/>
    </w:rPr>
  </w:style>
  <w:style w:type="character" w:customStyle="1" w:styleId="Small">
    <w:name w:val="Small"/>
    <w:basedOn w:val="DefaultParagraphFont"/>
    <w:rsid w:val="00BE7BC0"/>
    <w:rPr>
      <w:sz w:val="16"/>
    </w:rPr>
  </w:style>
  <w:style w:type="paragraph" w:customStyle="1" w:styleId="WideTable">
    <w:name w:val="Wide Table"/>
    <w:basedOn w:val="Normal"/>
    <w:rsid w:val="00BE7BC0"/>
    <w:pPr>
      <w:ind w:left="-1418"/>
    </w:pPr>
    <w:rPr>
      <w:sz w:val="2"/>
      <w:szCs w:val="2"/>
    </w:rPr>
  </w:style>
  <w:style w:type="character" w:styleId="PageNumber">
    <w:name w:val="page number"/>
    <w:basedOn w:val="DefaultParagraphFont"/>
    <w:rsid w:val="00BE7BC0"/>
  </w:style>
  <w:style w:type="paragraph" w:styleId="Quote">
    <w:name w:val="Quote"/>
    <w:basedOn w:val="Heading1"/>
    <w:link w:val="QuoteChar"/>
    <w:qFormat/>
    <w:rsid w:val="00BE7BC0"/>
    <w:rPr>
      <w:b w:val="0"/>
      <w:sz w:val="72"/>
      <w:szCs w:val="72"/>
      <w:lang w:val="en-NZ"/>
    </w:rPr>
  </w:style>
  <w:style w:type="character" w:customStyle="1" w:styleId="QuoteChar">
    <w:name w:val="Quote Char"/>
    <w:basedOn w:val="DefaultParagraphFont"/>
    <w:link w:val="Quote"/>
    <w:rsid w:val="00BE7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BC0"/>
    <w:pPr>
      <w:pageBreakBefore/>
    </w:pPr>
  </w:style>
  <w:style w:type="paragraph" w:customStyle="1" w:styleId="Border">
    <w:name w:val="Border"/>
    <w:basedOn w:val="Normal"/>
    <w:qFormat/>
    <w:rsid w:val="00BE7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BC0"/>
    <w:rPr>
      <w:b/>
      <w:bCs/>
      <w:i/>
      <w:iCs/>
      <w:color w:val="auto"/>
    </w:rPr>
  </w:style>
  <w:style w:type="paragraph" w:styleId="IntenseQuote">
    <w:name w:val="Intense Quote"/>
    <w:basedOn w:val="Normal"/>
    <w:next w:val="Normal"/>
    <w:link w:val="IntenseQuoteChar"/>
    <w:uiPriority w:val="30"/>
    <w:qFormat/>
    <w:rsid w:val="00BE7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B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BC0"/>
    <w:rPr>
      <w:smallCaps/>
      <w:color w:val="auto"/>
      <w:u w:val="single"/>
    </w:rPr>
  </w:style>
  <w:style w:type="character" w:styleId="IntenseReference">
    <w:name w:val="Intense Reference"/>
    <w:basedOn w:val="DefaultParagraphFont"/>
    <w:uiPriority w:val="32"/>
    <w:qFormat/>
    <w:rsid w:val="00BE7BC0"/>
    <w:rPr>
      <w:b/>
      <w:bCs/>
      <w:smallCaps/>
      <w:color w:val="auto"/>
      <w:spacing w:val="5"/>
      <w:u w:val="single"/>
    </w:rPr>
  </w:style>
  <w:style w:type="paragraph" w:customStyle="1" w:styleId="2ColumnHeading">
    <w:name w:val="2Column Heading"/>
    <w:basedOn w:val="BodyText"/>
    <w:qFormat/>
    <w:rsid w:val="00BE7BC0"/>
    <w:pPr>
      <w:spacing w:after="60"/>
      <w:ind w:left="-2268"/>
    </w:pPr>
    <w:rPr>
      <w:b/>
    </w:rPr>
  </w:style>
  <w:style w:type="paragraph" w:customStyle="1" w:styleId="Heading1TOC">
    <w:name w:val="Heading1 TOC"/>
    <w:basedOn w:val="Normal"/>
    <w:qFormat/>
    <w:rsid w:val="00BE7BC0"/>
    <w:pPr>
      <w:spacing w:before="240" w:after="120"/>
    </w:pPr>
    <w:rPr>
      <w:rFonts w:ascii="Times New Roman" w:hAnsi="Times New Roman"/>
      <w:b/>
      <w:sz w:val="32"/>
    </w:rPr>
  </w:style>
  <w:style w:type="paragraph" w:customStyle="1" w:styleId="Heading2TOC">
    <w:name w:val="Heading2 TOC"/>
    <w:basedOn w:val="Normal"/>
    <w:qFormat/>
    <w:rsid w:val="00BE7BC0"/>
    <w:pPr>
      <w:spacing w:before="240" w:after="60"/>
    </w:pPr>
    <w:rPr>
      <w:rFonts w:ascii="Times New Roman" w:hAnsi="Times New Roman"/>
      <w:b/>
      <w:sz w:val="28"/>
    </w:rPr>
  </w:style>
  <w:style w:type="character" w:customStyle="1" w:styleId="Underline">
    <w:name w:val="Underline"/>
    <w:basedOn w:val="DefaultParagraphFont"/>
    <w:qFormat/>
    <w:rsid w:val="00BE7BC0"/>
    <w:rPr>
      <w:u w:val="single"/>
    </w:rPr>
  </w:style>
  <w:style w:type="character" w:customStyle="1" w:styleId="BoldandItalics">
    <w:name w:val="Bold and Italics"/>
    <w:qFormat/>
    <w:rsid w:val="00BE7BC0"/>
    <w:rPr>
      <w:b/>
      <w:i/>
      <w:u w:val="none"/>
    </w:rPr>
  </w:style>
  <w:style w:type="paragraph" w:styleId="BalloonText">
    <w:name w:val="Balloon Text"/>
    <w:basedOn w:val="Normal"/>
    <w:link w:val="BalloonTextChar"/>
    <w:rsid w:val="00BE7BC0"/>
    <w:rPr>
      <w:rFonts w:ascii="Tahoma" w:hAnsi="Tahoma" w:cs="Tahoma"/>
      <w:sz w:val="16"/>
      <w:szCs w:val="16"/>
    </w:rPr>
  </w:style>
  <w:style w:type="character" w:customStyle="1" w:styleId="BalloonTextChar">
    <w:name w:val="Balloon Text Char"/>
    <w:basedOn w:val="DefaultParagraphFont"/>
    <w:link w:val="BalloonText"/>
    <w:rsid w:val="00BE7B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B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B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BC0"/>
    <w:rPr>
      <w:b/>
      <w:color w:val="660033"/>
      <w:spacing w:val="0"/>
    </w:rPr>
  </w:style>
  <w:style w:type="paragraph" w:customStyle="1" w:styleId="Nameditemlist">
    <w:name w:val="Named item list"/>
    <w:basedOn w:val="BodyText"/>
    <w:qFormat/>
    <w:rsid w:val="00BE7BC0"/>
    <w:pPr>
      <w:tabs>
        <w:tab w:val="left" w:pos="2835"/>
      </w:tabs>
      <w:ind w:left="2835" w:hanging="2835"/>
    </w:pPr>
  </w:style>
  <w:style w:type="paragraph" w:customStyle="1" w:styleId="BodyTextnopadding">
    <w:name w:val="Body Text no padding"/>
    <w:basedOn w:val="BodyText"/>
    <w:qFormat/>
    <w:rsid w:val="00BE7BC0"/>
    <w:pPr>
      <w:spacing w:before="0" w:after="0"/>
    </w:pPr>
  </w:style>
  <w:style w:type="paragraph" w:customStyle="1" w:styleId="BodyTextBold">
    <w:name w:val="Body Text Bold"/>
    <w:basedOn w:val="BodyText"/>
    <w:qFormat/>
    <w:rsid w:val="00BE7BC0"/>
    <w:rPr>
      <w:b/>
    </w:rPr>
  </w:style>
  <w:style w:type="character" w:styleId="Hyperlink">
    <w:name w:val="Hyperlink"/>
    <w:basedOn w:val="DefaultParagraphFont"/>
    <w:uiPriority w:val="99"/>
    <w:unhideWhenUsed/>
    <w:rsid w:val="00C20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6694</Characters>
  <Application>Microsoft Office Word</Application>
  <DocSecurity>0</DocSecurity>
  <Lines>223</Lines>
  <Paragraphs>97</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UEEHA0028 Perform compliance audits of hazardous areas and related electrical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