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86C" w:rsidP="00CD586C">
      <w:pPr>
        <w:pStyle w:val="Title"/>
      </w:pPr>
      <w:r>
        <w:fldChar w:fldCharType="begin"/>
      </w:r>
      <w:r>
        <w:instrText xml:space="preserve"> TITLE   \* MERGEFORMAT </w:instrText>
      </w:r>
      <w:r>
        <w:fldChar w:fldCharType="separate"/>
      </w:r>
      <w:r>
        <w:t>UEEHA0025 Install explosion-protected equipment and associated apparatus and wiring systems</w:t>
      </w:r>
      <w:r>
        <w:fldChar w:fldCharType="end"/>
      </w:r>
    </w:p>
    <w:p w:rsidR="00CD586C" w:rsidP="00CD586C">
      <w:pPr>
        <w:pStyle w:val="Version"/>
        <w:sectPr w:rsidSect="001116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672" w:rsidP="00111672">
      <w:pPr>
        <w:pStyle w:val="SuperHeading"/>
      </w:pPr>
      <w:r w:rsidRPr="00111672">
        <w:t>UEEHA0025 Install explosion-protected equipment and associated apparatus and wiring systems</w:t>
      </w:r>
    </w:p>
    <w:p w:rsidR="00000000" w:rsidRPr="00111672" w:rsidP="00111672">
      <w:pPr>
        <w:pStyle w:val="Heading1"/>
      </w:pPr>
      <w:bookmarkStart w:id="1" w:name="O_1242962"/>
      <w:bookmarkEnd w:id="1"/>
      <w:r w:rsidRPr="00111672">
        <w:t>Modification History</w:t>
      </w:r>
    </w:p>
    <w:tbl>
      <w:tblPr>
        <w:tblW w:w="9497" w:type="dxa"/>
        <w:tblLayout w:type="fixed"/>
        <w:tblCellMar>
          <w:left w:w="62" w:type="dxa"/>
          <w:right w:w="62" w:type="dxa"/>
        </w:tblCellMar>
        <w:tblLook w:val="0000"/>
      </w:tblPr>
      <w:tblGrid>
        <w:gridCol w:w="9497"/>
      </w:tblGrid>
      <w:tr w:rsidTr="00111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t>Release 1. This is the first release of this unit of competency in the UEE Electrotechnology Training Package.</w:t>
            </w:r>
          </w:p>
          <w:p w:rsidR="00000000" w:rsidRPr="00111672" w:rsidP="00111672">
            <w:pPr>
              <w:pStyle w:val="BodyText"/>
            </w:pPr>
            <w:r w:rsidRPr="00111672">
              <w:t>This unit replaces and is equivalent to UEEHA0005 Install explosion-protected equipment and associated apparatus and wiring systems.</w:t>
            </w:r>
          </w:p>
          <w:p w:rsidR="00000000" w:rsidRPr="00111672" w:rsidP="00111672">
            <w:pPr>
              <w:pStyle w:val="BodyText"/>
            </w:pPr>
            <w:r w:rsidRPr="00111672">
              <w:t>Prerequisite requirements have been amended.</w:t>
            </w:r>
          </w:p>
        </w:tc>
      </w:tr>
    </w:tbl>
    <w:p w:rsidR="00000000" w:rsidRPr="00111672" w:rsidP="00111672">
      <w:pPr>
        <w:pStyle w:val="NoPaddingFontSize1"/>
      </w:pPr>
    </w:p>
    <w:p w:rsidR="00000000" w:rsidRPr="00111672" w:rsidP="00111672">
      <w:pPr>
        <w:pStyle w:val="AllowPageBreak"/>
      </w:pPr>
    </w:p>
    <w:p w:rsidR="00000000" w:rsidRPr="00111672" w:rsidP="00111672">
      <w:pPr>
        <w:pStyle w:val="Heading1"/>
      </w:pPr>
      <w:bookmarkStart w:id="2" w:name="O_1242963"/>
      <w:bookmarkEnd w:id="2"/>
      <w:r w:rsidRPr="00111672">
        <w:t>Application</w:t>
      </w:r>
    </w:p>
    <w:tbl>
      <w:tblPr>
        <w:tblW w:w="9497" w:type="dxa"/>
        <w:tblLayout w:type="fixed"/>
        <w:tblCellMar>
          <w:left w:w="62" w:type="dxa"/>
          <w:right w:w="62" w:type="dxa"/>
        </w:tblCellMar>
        <w:tblLook w:val="0000"/>
      </w:tblPr>
      <w:tblGrid>
        <w:gridCol w:w="9497"/>
      </w:tblGrid>
      <w:tr w:rsidTr="00111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t>This unit involves the skills and knowledge r</w:t>
            </w:r>
            <w:r w:rsidRPr="00111672">
              <w:t>equired to install explosion-protected equipment and associated apparatus and wiring systems for hazardous areas. It includes understanding and applying the explosion-protection aspects of installing electrical equipment and wiring systems for hazardous ar</w:t>
            </w:r>
            <w:r w:rsidRPr="00111672">
              <w:t>eas; matching items of explosion-protected equipment with that specified for a given location; and complying with installation standards and retaining/completing the required documentation.</w:t>
            </w:r>
          </w:p>
          <w:p w:rsidR="00000000" w:rsidRPr="00111672" w:rsidP="00111672">
            <w:pPr>
              <w:pStyle w:val="BodyText"/>
            </w:pPr>
            <w:r w:rsidRPr="00111672">
              <w:t>This unit applies to hazardous area electrical installation functi</w:t>
            </w:r>
            <w:r w:rsidRPr="00111672">
              <w:t>ons.</w:t>
            </w:r>
          </w:p>
          <w:p w:rsidR="00000000" w:rsidRPr="00111672" w:rsidP="00111672">
            <w:pPr>
              <w:pStyle w:val="BodyText"/>
            </w:pPr>
            <w:r w:rsidRPr="00111672">
              <w:t>Site-specific work permits may be required to work in the hazardous environment. In addition, other permits may be required, such as confined space and to operate specific pieces of equipment such as elevated work platforms in various jurisdictions.</w:t>
            </w:r>
          </w:p>
          <w:p w:rsidR="00000000" w:rsidRPr="00111672" w:rsidP="00111672">
            <w:pPr>
              <w:pStyle w:val="BodyText"/>
            </w:pPr>
            <w:r w:rsidRPr="00111672">
              <w:t>A</w:t>
            </w:r>
            <w:r w:rsidRPr="00111672">
              <w:t>dditional and/or other conditions may apply in some jurisdictions subject to regulations related to electrical work. Practice in the workplace and during training is also subject to work health and safety (WHS)/occupational health and safety (OHS) regulati</w:t>
            </w:r>
            <w:r w:rsidRPr="00111672">
              <w:t>ons.</w:t>
            </w:r>
          </w:p>
          <w:p w:rsidR="00000000" w:rsidRPr="00111672" w:rsidP="00111672">
            <w:pPr>
              <w:pStyle w:val="BodyText"/>
            </w:pPr>
            <w:r w:rsidRPr="00111672">
              <w:t>This unit of competency and associated assessment requirements is adopted from clause 2.5 of AS/NZS 4761.1:2018 Competencies for working with electrical equipment for hazardous areas (EEHA). There may be differences between the content of this unit an</w:t>
            </w:r>
            <w:r w:rsidRPr="00111672">
              <w:t>d AS/NZS 4761.1:2018, so the Standard must be checked to ensure compliance with it. Clause 2.5 of AS/NZS 4761.1:2018 includes the following precondition for assessment:</w:t>
            </w:r>
          </w:p>
          <w:p w:rsidR="00000000" w:rsidRPr="00111672" w:rsidP="00111672">
            <w:pPr>
              <w:pStyle w:val="ListBullet"/>
            </w:pPr>
            <w:r>
              <w:t>“</w:t>
            </w:r>
            <w:r w:rsidRPr="00111672">
              <w:t>A candidate seeking assessment in this unit shall have been deemed competent to insta</w:t>
            </w:r>
            <w:r w:rsidRPr="00111672">
              <w:t>ll electrotechnology equipment and wiring systems for non-explosive atmospheres at AQF level 3 or NZQF level 4.</w:t>
            </w:r>
            <w:r>
              <w:t>”</w:t>
            </w:r>
          </w:p>
        </w:tc>
      </w:tr>
    </w:tbl>
    <w:p w:rsidR="00000000" w:rsidRPr="00111672" w:rsidP="00111672">
      <w:pPr>
        <w:pStyle w:val="NoPaddingFontSize1"/>
      </w:pPr>
    </w:p>
    <w:p w:rsidR="00000000" w:rsidRPr="00111672" w:rsidP="00111672">
      <w:pPr>
        <w:pStyle w:val="AllowPageBreak"/>
      </w:pPr>
    </w:p>
    <w:p w:rsidR="00000000" w:rsidRPr="00111672" w:rsidP="00111672">
      <w:pPr>
        <w:pStyle w:val="Heading1"/>
      </w:pPr>
      <w:bookmarkStart w:id="3" w:name="O_1242964"/>
      <w:bookmarkEnd w:id="3"/>
      <w:r w:rsidRPr="00111672">
        <w:t>Pre-requisite Unit</w:t>
      </w:r>
    </w:p>
    <w:tbl>
      <w:tblPr>
        <w:tblW w:w="9497" w:type="dxa"/>
        <w:tblLayout w:type="fixed"/>
        <w:tblCellMar>
          <w:left w:w="62" w:type="dxa"/>
          <w:right w:w="62" w:type="dxa"/>
        </w:tblCellMar>
        <w:tblLook w:val="0000"/>
      </w:tblPr>
      <w:tblGrid>
        <w:gridCol w:w="9497"/>
      </w:tblGrid>
      <w:tr w:rsidTr="00111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t>UEEHA0004 Enter a classified hazardous area to undertake work related to electrical equipment</w:t>
            </w:r>
          </w:p>
          <w:p w:rsidR="00000000" w:rsidRPr="00111672" w:rsidP="00111672">
            <w:pPr>
              <w:pStyle w:val="BodyText"/>
            </w:pPr>
            <w:r w:rsidRPr="00111672">
              <w:t>UEEHA0022 Determine the explosion-protection requirements to meet a specified classified hazardous area</w:t>
            </w:r>
          </w:p>
        </w:tc>
      </w:tr>
    </w:tbl>
    <w:p w:rsidR="00000000" w:rsidRPr="00111672" w:rsidP="00111672">
      <w:pPr>
        <w:pStyle w:val="NoPaddingFontSize1"/>
      </w:pPr>
    </w:p>
    <w:p w:rsidR="00000000" w:rsidRPr="00111672" w:rsidP="00111672">
      <w:pPr>
        <w:pStyle w:val="AllowPageBreak"/>
      </w:pPr>
    </w:p>
    <w:p w:rsidR="00000000" w:rsidRPr="00111672" w:rsidP="00111672">
      <w:pPr>
        <w:pStyle w:val="Heading1"/>
      </w:pPr>
      <w:bookmarkStart w:id="4" w:name="O_1242965"/>
      <w:bookmarkEnd w:id="4"/>
      <w:r w:rsidRPr="00111672">
        <w:t>Competency Field</w:t>
      </w:r>
    </w:p>
    <w:tbl>
      <w:tblPr>
        <w:tblW w:w="9497" w:type="dxa"/>
        <w:tblLayout w:type="fixed"/>
        <w:tblCellMar>
          <w:left w:w="62" w:type="dxa"/>
          <w:right w:w="62" w:type="dxa"/>
        </w:tblCellMar>
        <w:tblLook w:val="0000"/>
      </w:tblPr>
      <w:tblGrid>
        <w:gridCol w:w="9497"/>
      </w:tblGrid>
      <w:tr w:rsidTr="00111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t>Hazardous</w:t>
            </w:r>
          </w:p>
        </w:tc>
      </w:tr>
    </w:tbl>
    <w:p w:rsidR="00000000" w:rsidRPr="00111672" w:rsidP="00111672">
      <w:pPr>
        <w:pStyle w:val="NoPaddingFontSize1"/>
      </w:pPr>
    </w:p>
    <w:p w:rsidR="00000000" w:rsidRPr="00111672" w:rsidP="00111672">
      <w:pPr>
        <w:pStyle w:val="AllowPageBreak"/>
      </w:pPr>
    </w:p>
    <w:p w:rsidR="00000000" w:rsidRPr="00111672" w:rsidP="00111672">
      <w:pPr>
        <w:pStyle w:val="Heading1"/>
      </w:pPr>
      <w:bookmarkStart w:id="5" w:name="O_1242966"/>
      <w:bookmarkEnd w:id="5"/>
      <w:r w:rsidRPr="00111672">
        <w:t>Unit Sector</w:t>
      </w:r>
    </w:p>
    <w:tbl>
      <w:tblPr>
        <w:tblW w:w="9497" w:type="dxa"/>
        <w:tblLayout w:type="fixed"/>
        <w:tblCellMar>
          <w:left w:w="62" w:type="dxa"/>
          <w:right w:w="62" w:type="dxa"/>
        </w:tblCellMar>
        <w:tblLook w:val="0000"/>
      </w:tblPr>
      <w:tblGrid>
        <w:gridCol w:w="9497"/>
      </w:tblGrid>
      <w:tr w:rsidTr="00111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t>Electrotechnology</w:t>
            </w:r>
          </w:p>
        </w:tc>
      </w:tr>
    </w:tbl>
    <w:p w:rsidR="00000000" w:rsidRPr="00111672" w:rsidP="00111672">
      <w:pPr>
        <w:pStyle w:val="NoPaddingFontSize1"/>
      </w:pPr>
    </w:p>
    <w:p w:rsidR="00000000" w:rsidRPr="00111672" w:rsidP="00111672">
      <w:pPr>
        <w:pStyle w:val="AllowPageBreak"/>
      </w:pPr>
    </w:p>
    <w:p w:rsidR="00000000" w:rsidRPr="00111672" w:rsidP="00111672">
      <w:pPr>
        <w:pStyle w:val="Heading1"/>
      </w:pPr>
      <w:bookmarkStart w:id="6" w:name="O_1242967"/>
      <w:bookmarkEnd w:id="6"/>
      <w:r w:rsidRPr="00111672">
        <w:t>Elements and Performance Criteria</w:t>
      </w:r>
    </w:p>
    <w:tbl>
      <w:tblPr>
        <w:tblW w:w="9497" w:type="dxa"/>
        <w:tblLayout w:type="fixed"/>
        <w:tblCellMar>
          <w:left w:w="62" w:type="dxa"/>
          <w:right w:w="62" w:type="dxa"/>
        </w:tblCellMar>
        <w:tblLook w:val="0000"/>
      </w:tblPr>
      <w:tblGrid>
        <w:gridCol w:w="403"/>
        <w:gridCol w:w="2844"/>
        <w:gridCol w:w="720"/>
        <w:gridCol w:w="5530"/>
      </w:tblGrid>
      <w:tr w:rsidTr="00111672">
        <w:tblPrEx>
          <w:tblW w:w="9497" w:type="dxa"/>
          <w:tblLayout w:type="fixed"/>
          <w:tblCellMar>
            <w:left w:w="62" w:type="dxa"/>
            <w:right w:w="62" w:type="dxa"/>
          </w:tblCellMar>
          <w:tblLook w:val="0000"/>
        </w:tblPrEx>
        <w:tc>
          <w:tcPr>
            <w:tcW w:w="3247" w:type="dxa"/>
            <w:gridSpan w:val="2"/>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rPr>
                <w:rStyle w:val="SpecialBold"/>
              </w:rPr>
              <w:t>ELEMENTS</w:t>
            </w:r>
          </w:p>
        </w:tc>
        <w:tc>
          <w:tcPr>
            <w:tcW w:w="6250" w:type="dxa"/>
            <w:gridSpan w:val="2"/>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PERFORMANCE CRITERIA</w:t>
            </w:r>
          </w:p>
        </w:tc>
      </w:tr>
      <w:tr w:rsidTr="00111672">
        <w:tblPrEx>
          <w:tblW w:w="9497" w:type="dxa"/>
          <w:tblLayout w:type="fixed"/>
          <w:tblCellMar>
            <w:left w:w="62" w:type="dxa"/>
            <w:right w:w="62" w:type="dxa"/>
          </w:tblCellMar>
          <w:tblLook w:val="0000"/>
        </w:tblPrEx>
        <w:tc>
          <w:tcPr>
            <w:tcW w:w="3247" w:type="dxa"/>
            <w:gridSpan w:val="2"/>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Elements describe the essential outcomes.</w:t>
            </w:r>
          </w:p>
        </w:tc>
        <w:tc>
          <w:tcPr>
            <w:tcW w:w="6250" w:type="dxa"/>
            <w:gridSpan w:val="2"/>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Performance criteria describe the performance needed to demonstrate achievement of the element.</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rPr>
                <w:rStyle w:val="SpecialBold"/>
              </w:rPr>
              <w:t xml:space="preserve">1 </w:t>
            </w:r>
          </w:p>
        </w:tc>
        <w:tc>
          <w:tcPr>
            <w:tcW w:w="2844"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rPr>
                <w:rStyle w:val="SpecialBold"/>
              </w:rPr>
              <w:t>Prepare to install equipment and wiring</w:t>
            </w: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1.1</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WHS/OHS procedures and safe work methods are obtained and interpreted</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1.2</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Knowledge of requirements for installing electrical equipment and wiring for a hazardous area is applied to work preparation</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1.3</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Types of explosion-protected equipment and wiri</w:t>
            </w:r>
            <w:r w:rsidRPr="00111672">
              <w:t>ng systems to be installed are determined from the area classification and planning and/or design documentation</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1.4</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Location in which specific items of equipment and circuits are to be installed is determined from the area classification and planning and/or design documentation</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1.5</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Explosion-protected equipment markings are checked to ensure they conform to their cer</w:t>
            </w:r>
            <w:r w:rsidRPr="00111672">
              <w:t>tification document and planning and/or design specifications</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1.6</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Certification document supplied with each item of equipment is collected for forwarding to the relevant person for filing in the verification dossier</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1.7</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Cables and cable enclosures to</w:t>
            </w:r>
            <w:r w:rsidRPr="00111672">
              <w:t xml:space="preserve"> be installed are checked to ensure they conform to planning and/or design documentation</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1.8</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 xml:space="preserve">Cable glands, seals and conductor terminations are checked to ensure they are compatible with the cable types and equipment specified in the planning </w:t>
            </w:r>
            <w:r w:rsidRPr="00111672">
              <w:t xml:space="preserve">and/or </w:t>
            </w:r>
            <w:r w:rsidRPr="00111672">
              <w:t>design documentation</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1.9</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Special tools, equipment and testing devices needed to carry out the installation work are checked to ensure they are safe and serviceable, and any defective items are either rectified or replaced</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rPr>
                <w:rStyle w:val="SpecialBold"/>
              </w:rPr>
              <w:t>2</w:t>
            </w:r>
          </w:p>
        </w:tc>
        <w:tc>
          <w:tcPr>
            <w:tcW w:w="2844"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rPr>
                <w:rStyle w:val="SpecialBold"/>
              </w:rPr>
              <w:t>Install equipment and</w:t>
            </w:r>
            <w:r w:rsidRPr="00111672">
              <w:rPr>
                <w:rStyle w:val="SpecialBold"/>
              </w:rPr>
              <w:t xml:space="preserve"> wiring systems</w:t>
            </w: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2.1</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Safe work methods statements (SWMS) relating to explosive atmospheres are obtained and applied</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2.2</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Installation of equipment and wiring systems demonstrates application of knowledge of requirements for installing electrical equipment</w:t>
            </w:r>
            <w:r w:rsidRPr="00111672">
              <w:t xml:space="preserve"> and wiring for hazardous areas</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2.3</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Equipment enclosure covers and internal components are removed where needed to enable installation and covers, components and their fixing devices are stored to protect them against loss or damage</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2.4</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Equipment is installed to conform with the planning and/or design documentation, installation standards and within the limits specified by the equipment certification and manufacturer’s instructions</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2.5</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 xml:space="preserve">Equipment is installed in a manner that maintains </w:t>
            </w:r>
            <w:r w:rsidRPr="00111672">
              <w:t>the integrity of protection afforded by the equipment type</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2.6</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Cables and conduits are installed to conform with installation standards, planning and/or design documentation</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2.7</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Cables and conduits are terminated to conform with installation standard</w:t>
            </w:r>
            <w:r w:rsidRPr="00111672">
              <w:t>s and equipment certification and manufacturer’s instructions</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2.8</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 xml:space="preserve">Circuits are tested before connecting them to devices to ensure protective earth resistance is sufficiently low, insulation resistance is safe, </w:t>
            </w:r>
            <w:r w:rsidRPr="00111672">
              <w:t>polarity and connections are correct and each circuit complies with installation standards</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2.9</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Conductors are terminated and connected complying with planning and/or design documentation, installation standards, equipment certification and manufacturer’</w:t>
            </w:r>
            <w:r w:rsidRPr="00111672">
              <w:t>s instructions</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2.10</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Equipment covers and internal components are removed to enable installation and are replaced ensuring the integrity of the equipment type is not compromised</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rPr>
                <w:rStyle w:val="SpecialBold"/>
              </w:rPr>
              <w:t>3</w:t>
            </w:r>
          </w:p>
        </w:tc>
        <w:tc>
          <w:tcPr>
            <w:tcW w:w="2844"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rPr>
                <w:rStyle w:val="SpecialBold"/>
              </w:rPr>
              <w:t>Confirm that installation is complete</w:t>
            </w: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3.1</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Appropriate person/s is notifie</w:t>
            </w:r>
            <w:r w:rsidRPr="00111672">
              <w:t>d that the installation has been completed and is ready for the initial inspection</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3.2</w:t>
            </w:r>
          </w:p>
        </w:tc>
        <w:tc>
          <w:tcPr>
            <w:tcW w:w="553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 xml:space="preserve">Action is taken to rectify non-conformance and general installation defects found during the initial inspection and to ensure the installation </w:t>
            </w:r>
            <w:r w:rsidRPr="00111672">
              <w:t>complies with requirements</w:t>
            </w:r>
          </w:p>
        </w:tc>
      </w:tr>
      <w:tr w:rsidTr="0011167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111672">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rPr>
                <w:rStyle w:val="SpecialBold"/>
              </w:rPr>
              <w:t>3.3</w:t>
            </w:r>
          </w:p>
        </w:tc>
        <w:tc>
          <w:tcPr>
            <w:tcW w:w="5530"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t>Documents used during the installation are forwarded to the person responsible for compiling the verification dossier</w:t>
            </w:r>
          </w:p>
        </w:tc>
      </w:tr>
    </w:tbl>
    <w:p w:rsidR="00000000" w:rsidRPr="00111672" w:rsidP="00111672">
      <w:pPr>
        <w:pStyle w:val="NoPaddingFontSize1"/>
      </w:pPr>
    </w:p>
    <w:p w:rsidR="00000000" w:rsidRPr="00111672" w:rsidP="00111672">
      <w:pPr>
        <w:pStyle w:val="AllowPageBreak"/>
      </w:pPr>
    </w:p>
    <w:p w:rsidR="00000000" w:rsidRPr="00111672" w:rsidP="00111672">
      <w:pPr>
        <w:pStyle w:val="Heading1"/>
      </w:pPr>
      <w:bookmarkStart w:id="7" w:name="O_1242968"/>
      <w:bookmarkEnd w:id="7"/>
      <w:r w:rsidRPr="00111672">
        <w:t>Foundation Skills</w:t>
      </w:r>
    </w:p>
    <w:tbl>
      <w:tblPr>
        <w:tblW w:w="9497" w:type="dxa"/>
        <w:tblLayout w:type="fixed"/>
        <w:tblCellMar>
          <w:left w:w="62" w:type="dxa"/>
          <w:right w:w="62" w:type="dxa"/>
        </w:tblCellMar>
        <w:tblLook w:val="0000"/>
      </w:tblPr>
      <w:tblGrid>
        <w:gridCol w:w="9497"/>
      </w:tblGrid>
      <w:tr w:rsidTr="00111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t>Foundation skills essential to performance are explicit in the pe</w:t>
            </w:r>
            <w:r w:rsidRPr="00111672">
              <w:t>rformance criteria of this unit of competency.</w:t>
            </w:r>
          </w:p>
        </w:tc>
      </w:tr>
    </w:tbl>
    <w:p w:rsidR="00000000" w:rsidRPr="00111672" w:rsidP="00111672">
      <w:pPr>
        <w:pStyle w:val="NoPaddingFontSize1"/>
      </w:pPr>
    </w:p>
    <w:p w:rsidR="00000000" w:rsidRPr="00111672" w:rsidP="00111672">
      <w:pPr>
        <w:pStyle w:val="AllowPageBreak"/>
      </w:pPr>
    </w:p>
    <w:p w:rsidR="00000000" w:rsidRPr="00111672" w:rsidP="00111672">
      <w:pPr>
        <w:pStyle w:val="Heading1"/>
      </w:pPr>
      <w:bookmarkStart w:id="8" w:name="O_1242969"/>
      <w:bookmarkEnd w:id="8"/>
      <w:r w:rsidRPr="00111672">
        <w:t>Range of Conditions</w:t>
      </w:r>
    </w:p>
    <w:tbl>
      <w:tblPr>
        <w:tblW w:w="9497" w:type="dxa"/>
        <w:tblLayout w:type="fixed"/>
        <w:tblCellMar>
          <w:left w:w="62" w:type="dxa"/>
          <w:right w:w="62" w:type="dxa"/>
        </w:tblCellMar>
        <w:tblLook w:val="0000"/>
      </w:tblPr>
      <w:tblGrid>
        <w:gridCol w:w="4638"/>
        <w:gridCol w:w="4859"/>
      </w:tblGrid>
      <w:tr w:rsidTr="0011167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t>Range is restricted to essential operating conditions and any other variables essential to the work environment.</w:t>
            </w:r>
          </w:p>
          <w:p w:rsidR="00000000" w:rsidP="00111672">
            <w:pPr>
              <w:pStyle w:val="BodyText"/>
              <w:rPr>
                <w:lang w:val="en-NZ"/>
              </w:rPr>
            </w:pPr>
            <w:r w:rsidRPr="00111672">
              <w:t>Non-essential conditions may be found in the UEE Electr</w:t>
            </w:r>
            <w:r w:rsidRPr="00111672">
              <w:t>otechnology Training Package Companion Volume Implementation Guide.</w:t>
            </w:r>
          </w:p>
        </w:tc>
      </w:tr>
      <w:tr w:rsidTr="00111672">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111672">
            <w:pPr>
              <w:pStyle w:val="BodyText"/>
              <w:rPr>
                <w:lang w:val="en-NZ"/>
              </w:rPr>
            </w:pPr>
            <w:r w:rsidRPr="00111672">
              <w:t>Installing explosion-protected equipment and associated apparatus and wiring systems must apply to:</w:t>
            </w:r>
          </w:p>
        </w:tc>
        <w:tc>
          <w:tcPr>
            <w:tcW w:w="4859" w:type="dxa"/>
            <w:tcBorders>
              <w:top w:val="nil"/>
              <w:left w:val="nil"/>
              <w:bottom w:val="nil"/>
              <w:right w:val="nil"/>
            </w:tcBorders>
            <w:tcMar>
              <w:top w:w="0" w:type="dxa"/>
              <w:left w:w="62" w:type="dxa"/>
              <w:bottom w:w="0" w:type="dxa"/>
              <w:right w:w="62" w:type="dxa"/>
            </w:tcMar>
          </w:tcPr>
          <w:p w:rsidR="00000000" w:rsidRPr="00111672" w:rsidP="00111672">
            <w:pPr>
              <w:pStyle w:val="ListBullet"/>
            </w:pPr>
            <w:r w:rsidRPr="00111672">
              <w:t xml:space="preserve">new installations and additions, and repairs to existing installations related to a </w:t>
            </w:r>
            <w:r w:rsidRPr="00111672">
              <w:t>classified hazardous area</w:t>
            </w:r>
          </w:p>
        </w:tc>
      </w:tr>
    </w:tbl>
    <w:p w:rsidR="00000000" w:rsidRPr="00111672" w:rsidP="00111672">
      <w:pPr>
        <w:pStyle w:val="NoPaddingFontSize1"/>
      </w:pPr>
    </w:p>
    <w:p w:rsidR="00000000" w:rsidRPr="00111672" w:rsidP="00111672">
      <w:pPr>
        <w:pStyle w:val="AllowPageBreak"/>
      </w:pPr>
    </w:p>
    <w:p w:rsidR="00000000" w:rsidRPr="00111672" w:rsidP="00111672">
      <w:pPr>
        <w:pStyle w:val="Heading1"/>
      </w:pPr>
      <w:bookmarkStart w:id="9" w:name="O_1242970"/>
      <w:bookmarkEnd w:id="9"/>
      <w:r w:rsidRPr="00111672">
        <w:t>Unit Mapping Information</w:t>
      </w:r>
    </w:p>
    <w:tbl>
      <w:tblPr>
        <w:tblW w:w="9497" w:type="dxa"/>
        <w:tblLayout w:type="fixed"/>
        <w:tblCellMar>
          <w:left w:w="62" w:type="dxa"/>
          <w:right w:w="62" w:type="dxa"/>
        </w:tblCellMar>
        <w:tblLook w:val="0000"/>
      </w:tblPr>
      <w:tblGrid>
        <w:gridCol w:w="9497"/>
      </w:tblGrid>
      <w:tr w:rsidTr="00111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672" w:rsidP="00111672">
            <w:pPr>
              <w:pStyle w:val="BodyText"/>
            </w:pPr>
            <w:r w:rsidRPr="00111672">
              <w:t>This unit replaces and is equivalent to UEEHA0005 Install explosion-protected equipment and associated apparatus and wiring systems</w:t>
            </w:r>
          </w:p>
        </w:tc>
      </w:tr>
    </w:tbl>
    <w:p w:rsidR="00000000" w:rsidRPr="00111672" w:rsidP="00111672">
      <w:pPr>
        <w:pStyle w:val="NoPaddingFontSize1"/>
      </w:pPr>
    </w:p>
    <w:p w:rsidR="00000000" w:rsidRPr="00111672" w:rsidP="00111672">
      <w:pPr>
        <w:pStyle w:val="AllowPageBreak"/>
      </w:pPr>
    </w:p>
    <w:p w:rsidR="00000000" w:rsidRPr="00111672" w:rsidP="00111672">
      <w:pPr>
        <w:pStyle w:val="Heading1"/>
      </w:pPr>
      <w:bookmarkStart w:id="10" w:name="O_1242977"/>
      <w:bookmarkEnd w:id="10"/>
      <w:r w:rsidRPr="00111672">
        <w:t>Links</w:t>
      </w:r>
    </w:p>
    <w:p w:rsidR="00000000" w:rsidRPr="00111672" w:rsidP="00CD586C">
      <w:pPr>
        <w:pStyle w:val="BodyText"/>
      </w:pPr>
      <w:r w:rsidRPr="0011167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67605">
        <w:rPr>
          <w:rStyle w:val="Hyperlink"/>
        </w:rPr>
        <w:t>https://vetnet.gov.au/Pages/TrainingDocs.aspx?q=b8a8f136-5421-4ce1-92e0-2b50341431b6</w:t>
      </w:r>
      <w:r>
        <w:fldChar w:fldCharType="end"/>
      </w:r>
    </w:p>
    <w:p w:rsidR="00000000" w:rsidRPr="00111672" w:rsidP="00111672"/>
    <w:sectPr w:rsidSect="001116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72" w:rsidRPr="00CD586C" w:rsidP="00CD58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6C" w:rsidP="001116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586C" w:rsidP="0011167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D586C" w:rsidP="001116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672" w:rsidRPr="00CD586C" w:rsidP="00CD58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6C" w:rsidRPr="002D2AF8" w:rsidP="00111672">
    <w:pPr>
      <w:pStyle w:val="Header"/>
      <w:framePr w:wrap="around"/>
    </w:pPr>
    <w:r>
      <w:fldChar w:fldCharType="begin"/>
    </w:r>
    <w:r>
      <w:instrText xml:space="preserve"> TITLE   \* MERGEFORMAT </w:instrText>
    </w:r>
    <w:r>
      <w:fldChar w:fldCharType="separate"/>
    </w:r>
    <w:r>
      <w:t>UEEHA0025 Install explosion-protected equipment and associated apparatus and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D586C" w:rsidP="001116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BCD3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207A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6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672"/>
    <w:pPr>
      <w:spacing w:before="360" w:after="60"/>
      <w:outlineLvl w:val="0"/>
    </w:pPr>
    <w:rPr>
      <w:sz w:val="32"/>
    </w:rPr>
  </w:style>
  <w:style w:type="paragraph" w:styleId="Heading2">
    <w:name w:val="heading 2"/>
    <w:basedOn w:val="HeadingBase"/>
    <w:next w:val="BodyText"/>
    <w:link w:val="Heading2Char"/>
    <w:qFormat/>
    <w:rsid w:val="00111672"/>
    <w:pPr>
      <w:keepLines/>
      <w:spacing w:before="240" w:after="120"/>
      <w:outlineLvl w:val="1"/>
    </w:pPr>
    <w:rPr>
      <w:sz w:val="28"/>
      <w:szCs w:val="40"/>
    </w:rPr>
  </w:style>
  <w:style w:type="paragraph" w:styleId="Heading3">
    <w:name w:val="heading 3"/>
    <w:basedOn w:val="HeadingBase"/>
    <w:next w:val="BodyText"/>
    <w:link w:val="Heading3Char"/>
    <w:qFormat/>
    <w:rsid w:val="00111672"/>
    <w:pPr>
      <w:spacing w:before="180" w:after="120"/>
      <w:outlineLvl w:val="2"/>
    </w:pPr>
    <w:rPr>
      <w:spacing w:val="-10"/>
      <w:kern w:val="32"/>
    </w:rPr>
  </w:style>
  <w:style w:type="paragraph" w:styleId="Heading4">
    <w:name w:val="heading 4"/>
    <w:basedOn w:val="HeadingBase"/>
    <w:next w:val="BodyText"/>
    <w:link w:val="Heading4Char"/>
    <w:qFormat/>
    <w:rsid w:val="00111672"/>
    <w:pPr>
      <w:spacing w:before="160" w:after="120"/>
      <w:outlineLvl w:val="3"/>
    </w:pPr>
    <w:rPr>
      <w:sz w:val="22"/>
    </w:rPr>
  </w:style>
  <w:style w:type="paragraph" w:styleId="Heading5">
    <w:name w:val="heading 5"/>
    <w:basedOn w:val="HeadingBase"/>
    <w:next w:val="Normal"/>
    <w:link w:val="Heading5Char"/>
    <w:qFormat/>
    <w:rsid w:val="00111672"/>
    <w:pPr>
      <w:spacing w:before="80"/>
      <w:outlineLvl w:val="4"/>
    </w:pPr>
    <w:rPr>
      <w:color w:val="918585"/>
      <w:sz w:val="20"/>
    </w:rPr>
  </w:style>
  <w:style w:type="paragraph" w:styleId="Heading6">
    <w:name w:val="heading 6"/>
    <w:basedOn w:val="HeadingBase"/>
    <w:next w:val="Normal"/>
    <w:link w:val="Heading6Char"/>
    <w:qFormat/>
    <w:rsid w:val="00111672"/>
    <w:pPr>
      <w:spacing w:before="60"/>
      <w:outlineLvl w:val="5"/>
    </w:pPr>
    <w:rPr>
      <w:color w:val="918585"/>
      <w:sz w:val="20"/>
    </w:rPr>
  </w:style>
  <w:style w:type="paragraph" w:styleId="Heading7">
    <w:name w:val="heading 7"/>
    <w:basedOn w:val="Normal"/>
    <w:next w:val="Normal"/>
    <w:link w:val="Heading7Char"/>
    <w:qFormat/>
    <w:rsid w:val="00111672"/>
    <w:pPr>
      <w:ind w:left="720"/>
      <w:outlineLvl w:val="6"/>
    </w:pPr>
    <w:rPr>
      <w:i/>
    </w:rPr>
  </w:style>
  <w:style w:type="paragraph" w:styleId="Heading8">
    <w:name w:val="heading 8"/>
    <w:basedOn w:val="Normal"/>
    <w:next w:val="Normal"/>
    <w:link w:val="Heading8Char"/>
    <w:qFormat/>
    <w:rsid w:val="00111672"/>
    <w:pPr>
      <w:ind w:left="720"/>
      <w:outlineLvl w:val="7"/>
    </w:pPr>
    <w:rPr>
      <w:i/>
    </w:rPr>
  </w:style>
  <w:style w:type="paragraph" w:styleId="Heading9">
    <w:name w:val="heading 9"/>
    <w:basedOn w:val="Normal"/>
    <w:next w:val="Normal"/>
    <w:link w:val="Heading9Char"/>
    <w:qFormat/>
    <w:rsid w:val="00111672"/>
    <w:pPr>
      <w:ind w:left="720"/>
      <w:outlineLvl w:val="8"/>
    </w:pPr>
    <w:rPr>
      <w:i/>
    </w:rPr>
  </w:style>
  <w:style w:type="character" w:default="1" w:styleId="DefaultParagraphFont">
    <w:name w:val="Default Paragraph Font"/>
    <w:uiPriority w:val="1"/>
    <w:unhideWhenUsed/>
    <w:rsid w:val="001116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672"/>
  </w:style>
  <w:style w:type="character" w:customStyle="1" w:styleId="Heading1Char">
    <w:name w:val="Heading 1 Char"/>
    <w:basedOn w:val="DefaultParagraphFont"/>
    <w:link w:val="Heading1"/>
    <w:rsid w:val="00111672"/>
    <w:rPr>
      <w:rFonts w:ascii="Times New Roman" w:eastAsia="Times New Roman" w:hAnsi="Times New Roman" w:cs="Times New Roman"/>
      <w:b/>
      <w:sz w:val="32"/>
      <w:szCs w:val="20"/>
      <w:lang w:eastAsia="en-US"/>
    </w:rPr>
  </w:style>
  <w:style w:type="paragraph" w:styleId="BodyText">
    <w:name w:val="Body Text"/>
    <w:basedOn w:val="Normal"/>
    <w:link w:val="BodyTextChar"/>
    <w:rsid w:val="001116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672"/>
    <w:rPr>
      <w:rFonts w:ascii="Times New Roman" w:eastAsia="Times New Roman" w:hAnsi="Times New Roman" w:cs="Times New Roman"/>
      <w:sz w:val="24"/>
      <w:lang w:eastAsia="en-US"/>
    </w:rPr>
  </w:style>
  <w:style w:type="paragraph" w:styleId="ListBullet">
    <w:name w:val="List Bullet"/>
    <w:basedOn w:val="List"/>
    <w:rsid w:val="00111672"/>
    <w:pPr>
      <w:numPr>
        <w:numId w:val="11"/>
      </w:numPr>
      <w:tabs>
        <w:tab w:val="clear" w:pos="340"/>
      </w:tabs>
      <w:spacing w:before="40" w:after="40"/>
    </w:pPr>
  </w:style>
  <w:style w:type="character" w:customStyle="1" w:styleId="SpecialBold">
    <w:name w:val="Special Bold"/>
    <w:basedOn w:val="DefaultParagraphFont"/>
    <w:rsid w:val="00111672"/>
    <w:rPr>
      <w:b/>
      <w:spacing w:val="0"/>
    </w:rPr>
  </w:style>
  <w:style w:type="paragraph" w:customStyle="1" w:styleId="SuperHeading">
    <w:name w:val="SuperHeading"/>
    <w:basedOn w:val="Normal"/>
    <w:rsid w:val="00111672"/>
    <w:pPr>
      <w:spacing w:before="240" w:after="120"/>
      <w:outlineLvl w:val="0"/>
    </w:pPr>
    <w:rPr>
      <w:rFonts w:ascii="Times New Roman" w:hAnsi="Times New Roman"/>
      <w:b/>
      <w:sz w:val="32"/>
    </w:rPr>
  </w:style>
  <w:style w:type="paragraph" w:customStyle="1" w:styleId="AllowPageBreak">
    <w:name w:val="AllowPageBreak"/>
    <w:rsid w:val="001116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16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6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6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6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6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6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6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672"/>
    <w:rPr>
      <w:rFonts w:ascii="Courier New" w:eastAsia="Times New Roman" w:hAnsi="Courier New" w:cs="Times New Roman"/>
      <w:i/>
      <w:szCs w:val="20"/>
      <w:lang w:eastAsia="en-US"/>
    </w:rPr>
  </w:style>
  <w:style w:type="paragraph" w:customStyle="1" w:styleId="HeadingBase">
    <w:name w:val="Heading Base"/>
    <w:rsid w:val="001116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672"/>
    <w:pPr>
      <w:tabs>
        <w:tab w:val="right" w:leader="dot" w:pos="9072"/>
      </w:tabs>
      <w:ind w:left="567"/>
    </w:pPr>
    <w:rPr>
      <w:szCs w:val="22"/>
    </w:rPr>
  </w:style>
  <w:style w:type="paragraph" w:customStyle="1" w:styleId="TOCBase">
    <w:name w:val="TOC Base"/>
    <w:rsid w:val="001116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672"/>
    <w:pPr>
      <w:tabs>
        <w:tab w:val="right" w:leader="dot" w:pos="9072"/>
      </w:tabs>
      <w:spacing w:before="40" w:after="40"/>
      <w:ind w:left="284"/>
    </w:pPr>
    <w:rPr>
      <w:rFonts w:ascii="Times New Roman" w:hAnsi="Times New Roman"/>
    </w:rPr>
  </w:style>
  <w:style w:type="paragraph" w:styleId="TOC1">
    <w:name w:val="toc 1"/>
    <w:basedOn w:val="TOCBase"/>
    <w:next w:val="Normal"/>
    <w:rsid w:val="001116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6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672"/>
    <w:rPr>
      <w:rFonts w:ascii="Times New Roman" w:eastAsia="Times New Roman" w:hAnsi="Times New Roman" w:cs="Times New Roman"/>
      <w:sz w:val="16"/>
      <w:lang w:eastAsia="en-US"/>
    </w:rPr>
  </w:style>
  <w:style w:type="paragraph" w:styleId="Title">
    <w:name w:val="Title"/>
    <w:basedOn w:val="HeadingBase"/>
    <w:link w:val="TitleChar"/>
    <w:qFormat/>
    <w:rsid w:val="00111672"/>
    <w:pPr>
      <w:spacing w:before="5040"/>
      <w:jc w:val="center"/>
    </w:pPr>
    <w:rPr>
      <w:sz w:val="48"/>
      <w:szCs w:val="72"/>
      <w:lang w:val="en-US"/>
    </w:rPr>
  </w:style>
  <w:style w:type="character" w:customStyle="1" w:styleId="TitleChar">
    <w:name w:val="Title Char"/>
    <w:basedOn w:val="DefaultParagraphFont"/>
    <w:link w:val="Title"/>
    <w:rsid w:val="001116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672"/>
    <w:pPr>
      <w:tabs>
        <w:tab w:val="left" w:pos="3600"/>
        <w:tab w:val="left" w:pos="3958"/>
      </w:tabs>
    </w:pPr>
  </w:style>
  <w:style w:type="paragraph" w:styleId="List">
    <w:name w:val="List"/>
    <w:basedOn w:val="BodyText"/>
    <w:next w:val="BodyText"/>
    <w:rsid w:val="00111672"/>
    <w:pPr>
      <w:tabs>
        <w:tab w:val="left" w:pos="340"/>
      </w:tabs>
      <w:spacing w:before="60" w:after="60"/>
      <w:ind w:left="340" w:hanging="340"/>
    </w:pPr>
  </w:style>
  <w:style w:type="paragraph" w:customStyle="1" w:styleId="Note">
    <w:name w:val="Note"/>
    <w:basedOn w:val="BodyText"/>
    <w:rsid w:val="001116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672"/>
    <w:pPr>
      <w:framePr w:wrap="auto" w:hAnchor="text" w:y="6049"/>
    </w:pPr>
    <w:rPr>
      <w:color w:val="000000"/>
      <w:sz w:val="40"/>
    </w:rPr>
  </w:style>
  <w:style w:type="paragraph" w:customStyle="1" w:styleId="TOCTitle">
    <w:name w:val="TOCTitle"/>
    <w:basedOn w:val="Heading1"/>
    <w:rsid w:val="00111672"/>
    <w:pPr>
      <w:spacing w:after="240"/>
      <w:jc w:val="center"/>
      <w:outlineLvl w:val="9"/>
    </w:pPr>
    <w:rPr>
      <w:caps/>
    </w:rPr>
  </w:style>
  <w:style w:type="paragraph" w:customStyle="1" w:styleId="Version">
    <w:name w:val="Version"/>
    <w:rsid w:val="001116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1672"/>
    <w:pPr>
      <w:numPr>
        <w:numId w:val="12"/>
      </w:numPr>
      <w:tabs>
        <w:tab w:val="clear" w:pos="680"/>
      </w:tabs>
    </w:pPr>
  </w:style>
  <w:style w:type="paragraph" w:styleId="Index1">
    <w:name w:val="index 1"/>
    <w:basedOn w:val="Normal"/>
    <w:next w:val="Normal"/>
    <w:semiHidden/>
    <w:rsid w:val="00111672"/>
    <w:pPr>
      <w:keepNext w:val="0"/>
      <w:tabs>
        <w:tab w:val="right" w:pos="4176"/>
      </w:tabs>
      <w:ind w:left="198" w:hanging="198"/>
    </w:pPr>
    <w:rPr>
      <w:rFonts w:ascii="Garamond" w:hAnsi="Garamond"/>
    </w:rPr>
  </w:style>
  <w:style w:type="paragraph" w:styleId="IndexHeading">
    <w:name w:val="index heading"/>
    <w:basedOn w:val="Normal"/>
    <w:next w:val="Index1"/>
    <w:semiHidden/>
    <w:rsid w:val="00111672"/>
    <w:pPr>
      <w:spacing w:before="120" w:after="120"/>
    </w:pPr>
    <w:rPr>
      <w:rFonts w:ascii="Arial" w:hAnsi="Arial"/>
      <w:b/>
      <w:color w:val="918585"/>
      <w:sz w:val="24"/>
    </w:rPr>
  </w:style>
  <w:style w:type="paragraph" w:styleId="Header">
    <w:name w:val="header"/>
    <w:basedOn w:val="Normal"/>
    <w:link w:val="HeaderChar"/>
    <w:rsid w:val="001116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672"/>
    <w:rPr>
      <w:rFonts w:ascii="Times New Roman" w:eastAsia="Times New Roman" w:hAnsi="Times New Roman" w:cs="Times New Roman"/>
      <w:sz w:val="16"/>
      <w:szCs w:val="20"/>
      <w:lang w:val="en-GB" w:eastAsia="en-US"/>
    </w:rPr>
  </w:style>
  <w:style w:type="paragraph" w:customStyle="1" w:styleId="Chapter">
    <w:name w:val="Chapter"/>
    <w:basedOn w:val="Normal"/>
    <w:rsid w:val="00111672"/>
    <w:pPr>
      <w:spacing w:before="240"/>
    </w:pPr>
    <w:rPr>
      <w:rFonts w:ascii="Times New Roman" w:hAnsi="Times New Roman"/>
      <w:smallCaps/>
      <w:spacing w:val="80"/>
      <w:sz w:val="28"/>
    </w:rPr>
  </w:style>
  <w:style w:type="paragraph" w:customStyle="1" w:styleId="InChapter">
    <w:name w:val="InChapter"/>
    <w:basedOn w:val="Heading3"/>
    <w:rsid w:val="00111672"/>
    <w:pPr>
      <w:spacing w:after="240"/>
      <w:outlineLvl w:val="9"/>
    </w:pPr>
    <w:rPr>
      <w:noProof/>
    </w:rPr>
  </w:style>
  <w:style w:type="paragraph" w:styleId="Index2">
    <w:name w:val="index 2"/>
    <w:basedOn w:val="Normal"/>
    <w:next w:val="Normal"/>
    <w:semiHidden/>
    <w:rsid w:val="00111672"/>
    <w:pPr>
      <w:tabs>
        <w:tab w:val="right" w:pos="4176"/>
      </w:tabs>
      <w:ind w:left="568" w:hanging="284"/>
    </w:pPr>
    <w:rPr>
      <w:rFonts w:ascii="Garamond" w:hAnsi="Garamond"/>
    </w:rPr>
  </w:style>
  <w:style w:type="paragraph" w:customStyle="1" w:styleId="Byline">
    <w:name w:val="Byline"/>
    <w:rsid w:val="001116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672"/>
    <w:pPr>
      <w:tabs>
        <w:tab w:val="clear" w:pos="3600"/>
        <w:tab w:val="clear" w:pos="3958"/>
      </w:tabs>
      <w:jc w:val="right"/>
    </w:pPr>
  </w:style>
  <w:style w:type="character" w:styleId="Emphasis">
    <w:name w:val="Emphasis"/>
    <w:basedOn w:val="DefaultParagraphFont"/>
    <w:qFormat/>
    <w:rsid w:val="00111672"/>
    <w:rPr>
      <w:i/>
    </w:rPr>
  </w:style>
  <w:style w:type="paragraph" w:styleId="Caption">
    <w:name w:val="caption"/>
    <w:basedOn w:val="BodyText"/>
    <w:next w:val="Normal"/>
    <w:qFormat/>
    <w:rsid w:val="00111672"/>
    <w:pPr>
      <w:framePr w:w="2268" w:hSpace="181" w:vSpace="181" w:wrap="around" w:vAnchor="text" w:hAnchor="page" w:x="1135" w:y="285" w:anchorLock="1"/>
    </w:pPr>
    <w:rPr>
      <w:i/>
    </w:rPr>
  </w:style>
  <w:style w:type="paragraph" w:customStyle="1" w:styleId="MiniTOCTitle">
    <w:name w:val="MiniTOCTitle"/>
    <w:basedOn w:val="Heading4"/>
    <w:rsid w:val="00111672"/>
    <w:pPr>
      <w:spacing w:before="240"/>
      <w:outlineLvl w:val="9"/>
    </w:pPr>
    <w:rPr>
      <w:noProof/>
      <w:sz w:val="24"/>
    </w:rPr>
  </w:style>
  <w:style w:type="paragraph" w:customStyle="1" w:styleId="MiniTOCItem">
    <w:name w:val="MiniTOCItem"/>
    <w:basedOn w:val="ListBullet"/>
    <w:rsid w:val="00111672"/>
    <w:pPr>
      <w:numPr>
        <w:numId w:val="0"/>
      </w:numPr>
      <w:tabs>
        <w:tab w:val="right" w:leader="dot" w:pos="6521"/>
      </w:tabs>
      <w:spacing w:before="0" w:after="0"/>
    </w:pPr>
  </w:style>
  <w:style w:type="paragraph" w:customStyle="1" w:styleId="TOFTitle">
    <w:name w:val="TOFTitle"/>
    <w:basedOn w:val="TOCTitle"/>
    <w:rsid w:val="00111672"/>
  </w:style>
  <w:style w:type="paragraph" w:styleId="TableofFigures">
    <w:name w:val="table of figures"/>
    <w:basedOn w:val="Normal"/>
    <w:next w:val="Normal"/>
    <w:semiHidden/>
    <w:rsid w:val="00111672"/>
    <w:pPr>
      <w:tabs>
        <w:tab w:val="right" w:leader="dot" w:pos="9072"/>
      </w:tabs>
      <w:ind w:left="970" w:hanging="403"/>
    </w:pPr>
    <w:rPr>
      <w:rFonts w:ascii="Times New Roman" w:hAnsi="Times New Roman"/>
      <w:b/>
    </w:rPr>
  </w:style>
  <w:style w:type="paragraph" w:styleId="ListNumber">
    <w:name w:val="List Number"/>
    <w:basedOn w:val="List"/>
    <w:rsid w:val="00111672"/>
    <w:pPr>
      <w:numPr>
        <w:numId w:val="14"/>
      </w:numPr>
      <w:tabs>
        <w:tab w:val="clear" w:pos="340"/>
      </w:tabs>
    </w:pPr>
  </w:style>
  <w:style w:type="character" w:customStyle="1" w:styleId="WingdingSymbols">
    <w:name w:val="Wingding Symbols"/>
    <w:rsid w:val="00111672"/>
    <w:rPr>
      <w:rFonts w:ascii="Wingdings" w:hAnsi="Wingdings"/>
    </w:rPr>
  </w:style>
  <w:style w:type="paragraph" w:customStyle="1" w:styleId="TableHeading">
    <w:name w:val="Table Heading"/>
    <w:basedOn w:val="HeadingBase"/>
    <w:rsid w:val="00111672"/>
    <w:pPr>
      <w:keepLines/>
      <w:pBdr>
        <w:bottom w:val="single" w:sz="6" w:space="1" w:color="918585"/>
      </w:pBdr>
      <w:spacing w:before="240"/>
    </w:pPr>
  </w:style>
  <w:style w:type="character" w:customStyle="1" w:styleId="HotSpot">
    <w:name w:val="HotSpot"/>
    <w:rsid w:val="00111672"/>
    <w:rPr>
      <w:color w:val="0033CC"/>
      <w:u w:val="none"/>
    </w:rPr>
  </w:style>
  <w:style w:type="paragraph" w:customStyle="1" w:styleId="BodyTextRight">
    <w:name w:val="Body Text Right"/>
    <w:basedOn w:val="BodyText"/>
    <w:rsid w:val="00111672"/>
    <w:pPr>
      <w:spacing w:before="0" w:after="0"/>
      <w:jc w:val="right"/>
    </w:pPr>
  </w:style>
  <w:style w:type="paragraph" w:styleId="Index3">
    <w:name w:val="index 3"/>
    <w:basedOn w:val="ListNumber2"/>
    <w:next w:val="Normal"/>
    <w:semiHidden/>
    <w:rsid w:val="00111672"/>
    <w:pPr>
      <w:numPr>
        <w:numId w:val="0"/>
      </w:numPr>
      <w:tabs>
        <w:tab w:val="right" w:leader="dot" w:pos="4176"/>
      </w:tabs>
    </w:pPr>
  </w:style>
  <w:style w:type="paragraph" w:styleId="ListNumber2">
    <w:name w:val="List Number 2"/>
    <w:basedOn w:val="List2"/>
    <w:rsid w:val="00111672"/>
    <w:pPr>
      <w:numPr>
        <w:numId w:val="9"/>
      </w:numPr>
      <w:tabs>
        <w:tab w:val="clear" w:pos="1060"/>
      </w:tabs>
    </w:pPr>
  </w:style>
  <w:style w:type="paragraph" w:customStyle="1" w:styleId="MarginNote">
    <w:name w:val="Margin Note"/>
    <w:basedOn w:val="BodyText"/>
    <w:rsid w:val="001116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6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6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672"/>
    <w:rPr>
      <w:sz w:val="32"/>
    </w:rPr>
  </w:style>
  <w:style w:type="paragraph" w:customStyle="1" w:styleId="HeadingProcedure">
    <w:name w:val="Heading Procedure"/>
    <w:basedOn w:val="HeadingBase"/>
    <w:next w:val="Normal"/>
    <w:rsid w:val="00111672"/>
    <w:pPr>
      <w:tabs>
        <w:tab w:val="left" w:pos="0"/>
      </w:tabs>
      <w:spacing w:before="120" w:after="60"/>
    </w:pPr>
    <w:rPr>
      <w:i/>
      <w:color w:val="918585"/>
      <w:sz w:val="22"/>
    </w:rPr>
  </w:style>
  <w:style w:type="paragraph" w:customStyle="1" w:styleId="TableBodyText">
    <w:name w:val="Table Body Text"/>
    <w:basedOn w:val="BodyText"/>
    <w:rsid w:val="00111672"/>
    <w:pPr>
      <w:spacing w:before="60" w:after="60"/>
    </w:pPr>
  </w:style>
  <w:style w:type="paragraph" w:styleId="ListContinue">
    <w:name w:val="List Continue"/>
    <w:basedOn w:val="List"/>
    <w:rsid w:val="00111672"/>
    <w:pPr>
      <w:ind w:firstLine="0"/>
    </w:pPr>
  </w:style>
  <w:style w:type="paragraph" w:customStyle="1" w:styleId="ListNote">
    <w:name w:val="List Note"/>
    <w:basedOn w:val="List"/>
    <w:rsid w:val="00111672"/>
    <w:pPr>
      <w:pBdr>
        <w:top w:val="single" w:sz="6" w:space="2" w:color="918585"/>
        <w:bottom w:val="single" w:sz="6" w:space="2" w:color="918585"/>
      </w:pBdr>
      <w:tabs>
        <w:tab w:val="left" w:pos="1021"/>
      </w:tabs>
      <w:ind w:firstLine="0"/>
    </w:pPr>
  </w:style>
  <w:style w:type="paragraph" w:customStyle="1" w:styleId="Warning">
    <w:name w:val="Warning"/>
    <w:basedOn w:val="BodyText"/>
    <w:rsid w:val="00111672"/>
    <w:pPr>
      <w:shd w:val="clear" w:color="auto" w:fill="D9D9D9"/>
      <w:tabs>
        <w:tab w:val="left" w:pos="992"/>
      </w:tabs>
      <w:ind w:left="119" w:right="119"/>
    </w:pPr>
    <w:rPr>
      <w:sz w:val="20"/>
    </w:rPr>
  </w:style>
  <w:style w:type="paragraph" w:customStyle="1" w:styleId="MarginIcons">
    <w:name w:val="Margin Icons"/>
    <w:basedOn w:val="BodyText"/>
    <w:rsid w:val="001116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672"/>
    <w:rPr>
      <w:rFonts w:ascii="Courier New" w:hAnsi="Courier New"/>
    </w:rPr>
  </w:style>
  <w:style w:type="paragraph" w:customStyle="1" w:styleId="NoteBullet">
    <w:name w:val="Note Bullet"/>
    <w:basedOn w:val="Note"/>
    <w:rsid w:val="00111672"/>
    <w:pPr>
      <w:tabs>
        <w:tab w:val="clear" w:pos="680"/>
      </w:tabs>
      <w:spacing w:before="60" w:after="60"/>
    </w:pPr>
  </w:style>
  <w:style w:type="paragraph" w:customStyle="1" w:styleId="SubHeading2">
    <w:name w:val="SubHeading2"/>
    <w:basedOn w:val="HeadingBase"/>
    <w:rsid w:val="00111672"/>
    <w:pPr>
      <w:spacing w:before="240" w:after="60"/>
    </w:pPr>
    <w:rPr>
      <w:sz w:val="20"/>
    </w:rPr>
  </w:style>
  <w:style w:type="paragraph" w:customStyle="1" w:styleId="SubHeading1">
    <w:name w:val="SubHeading1"/>
    <w:basedOn w:val="HeadingBase"/>
    <w:rsid w:val="00111672"/>
    <w:pPr>
      <w:spacing w:before="240" w:after="60"/>
    </w:pPr>
    <w:rPr>
      <w:color w:val="918585"/>
      <w:sz w:val="22"/>
    </w:rPr>
  </w:style>
  <w:style w:type="paragraph" w:customStyle="1" w:styleId="SideHeading">
    <w:name w:val="Side Heading"/>
    <w:basedOn w:val="HeadingBase"/>
    <w:rsid w:val="001116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672"/>
    <w:pPr>
      <w:numPr>
        <w:numId w:val="10"/>
      </w:numPr>
    </w:pPr>
  </w:style>
  <w:style w:type="paragraph" w:styleId="PlainText">
    <w:name w:val="Plain Text"/>
    <w:basedOn w:val="Normal"/>
    <w:link w:val="PlainTextChar"/>
    <w:rsid w:val="00111672"/>
    <w:rPr>
      <w:sz w:val="20"/>
    </w:rPr>
  </w:style>
  <w:style w:type="character" w:customStyle="1" w:styleId="PlainTextChar">
    <w:name w:val="Plain Text Char"/>
    <w:basedOn w:val="DefaultParagraphFont"/>
    <w:link w:val="PlainText"/>
    <w:rsid w:val="00111672"/>
    <w:rPr>
      <w:rFonts w:ascii="Courier New" w:eastAsia="Times New Roman" w:hAnsi="Courier New" w:cs="Times New Roman"/>
      <w:sz w:val="20"/>
      <w:szCs w:val="20"/>
      <w:lang w:eastAsia="en-US"/>
    </w:rPr>
  </w:style>
  <w:style w:type="character" w:customStyle="1" w:styleId="MenuOption">
    <w:name w:val="Menu Option"/>
    <w:basedOn w:val="DefaultParagraphFont"/>
    <w:rsid w:val="00111672"/>
    <w:rPr>
      <w:b/>
      <w:smallCaps/>
    </w:rPr>
  </w:style>
  <w:style w:type="paragraph" w:customStyle="1" w:styleId="TableListNumber">
    <w:name w:val="Table List Number"/>
    <w:basedOn w:val="ListNumber"/>
    <w:rsid w:val="00111672"/>
    <w:pPr>
      <w:numPr>
        <w:numId w:val="0"/>
      </w:numPr>
    </w:pPr>
  </w:style>
  <w:style w:type="paragraph" w:styleId="TOC4">
    <w:name w:val="toc 4"/>
    <w:basedOn w:val="TOCBase"/>
    <w:next w:val="Normal"/>
    <w:semiHidden/>
    <w:rsid w:val="00111672"/>
    <w:pPr>
      <w:tabs>
        <w:tab w:val="right" w:leader="dot" w:pos="9071"/>
      </w:tabs>
      <w:ind w:left="1701"/>
    </w:pPr>
  </w:style>
  <w:style w:type="paragraph" w:customStyle="1" w:styleId="ListAlpha">
    <w:name w:val="List Alpha"/>
    <w:basedOn w:val="List"/>
    <w:rsid w:val="00111672"/>
    <w:pPr>
      <w:numPr>
        <w:numId w:val="8"/>
      </w:numPr>
    </w:pPr>
  </w:style>
  <w:style w:type="paragraph" w:customStyle="1" w:styleId="ListAlpha2">
    <w:name w:val="List Alpha 2"/>
    <w:basedOn w:val="List2"/>
    <w:rsid w:val="00111672"/>
    <w:pPr>
      <w:numPr>
        <w:numId w:val="7"/>
      </w:numPr>
    </w:pPr>
  </w:style>
  <w:style w:type="paragraph" w:styleId="List2">
    <w:name w:val="List 2"/>
    <w:basedOn w:val="BodyText"/>
    <w:rsid w:val="00111672"/>
    <w:pPr>
      <w:tabs>
        <w:tab w:val="left" w:pos="680"/>
      </w:tabs>
      <w:spacing w:before="60" w:after="60"/>
      <w:ind w:left="680" w:hanging="340"/>
    </w:pPr>
  </w:style>
  <w:style w:type="paragraph" w:styleId="List3">
    <w:name w:val="List 3"/>
    <w:basedOn w:val="BodyText"/>
    <w:rsid w:val="00111672"/>
    <w:pPr>
      <w:tabs>
        <w:tab w:val="left" w:pos="1021"/>
      </w:tabs>
      <w:spacing w:before="60" w:after="60"/>
      <w:ind w:left="1020" w:hanging="340"/>
    </w:pPr>
  </w:style>
  <w:style w:type="paragraph" w:styleId="List4">
    <w:name w:val="List 4"/>
    <w:basedOn w:val="BodyText"/>
    <w:rsid w:val="00111672"/>
    <w:pPr>
      <w:tabs>
        <w:tab w:val="left" w:pos="1361"/>
      </w:tabs>
      <w:spacing w:before="60" w:after="60"/>
      <w:ind w:left="1361" w:hanging="340"/>
    </w:pPr>
  </w:style>
  <w:style w:type="paragraph" w:styleId="List5">
    <w:name w:val="List 5"/>
    <w:basedOn w:val="BodyText"/>
    <w:rsid w:val="00111672"/>
    <w:pPr>
      <w:tabs>
        <w:tab w:val="left" w:pos="1701"/>
      </w:tabs>
      <w:spacing w:before="60" w:after="60"/>
      <w:ind w:left="1701" w:hanging="340"/>
    </w:pPr>
  </w:style>
  <w:style w:type="paragraph" w:styleId="ListBullet3">
    <w:name w:val="List Bullet 3"/>
    <w:basedOn w:val="List3"/>
    <w:rsid w:val="00111672"/>
    <w:pPr>
      <w:numPr>
        <w:numId w:val="13"/>
      </w:numPr>
      <w:tabs>
        <w:tab w:val="clear" w:pos="1021"/>
      </w:tabs>
      <w:ind w:left="1037" w:hanging="357"/>
    </w:pPr>
  </w:style>
  <w:style w:type="paragraph" w:styleId="ListBullet4">
    <w:name w:val="List Bullet 4"/>
    <w:basedOn w:val="List4"/>
    <w:rsid w:val="00111672"/>
    <w:pPr>
      <w:numPr>
        <w:numId w:val="2"/>
      </w:numPr>
      <w:tabs>
        <w:tab w:val="clear" w:pos="1361"/>
      </w:tabs>
    </w:pPr>
  </w:style>
  <w:style w:type="paragraph" w:styleId="ListBullet5">
    <w:name w:val="List Bullet 5"/>
    <w:basedOn w:val="List5"/>
    <w:rsid w:val="00111672"/>
    <w:pPr>
      <w:numPr>
        <w:numId w:val="3"/>
      </w:numPr>
    </w:pPr>
  </w:style>
  <w:style w:type="paragraph" w:styleId="ListContinue2">
    <w:name w:val="List Continue 2"/>
    <w:basedOn w:val="List2"/>
    <w:rsid w:val="00111672"/>
    <w:pPr>
      <w:ind w:firstLine="0"/>
    </w:pPr>
  </w:style>
  <w:style w:type="paragraph" w:styleId="ListContinue3">
    <w:name w:val="List Continue 3"/>
    <w:basedOn w:val="List3"/>
    <w:rsid w:val="00111672"/>
    <w:pPr>
      <w:ind w:left="1021" w:firstLine="0"/>
    </w:pPr>
  </w:style>
  <w:style w:type="paragraph" w:styleId="ListContinue4">
    <w:name w:val="List Continue 4"/>
    <w:basedOn w:val="List4"/>
    <w:rsid w:val="00111672"/>
    <w:pPr>
      <w:ind w:firstLine="0"/>
    </w:pPr>
  </w:style>
  <w:style w:type="paragraph" w:styleId="ListContinue5">
    <w:name w:val="List Continue 5"/>
    <w:basedOn w:val="List5"/>
    <w:rsid w:val="00111672"/>
    <w:pPr>
      <w:ind w:firstLine="0"/>
    </w:pPr>
  </w:style>
  <w:style w:type="paragraph" w:styleId="ListNumber3">
    <w:name w:val="List Number 3"/>
    <w:basedOn w:val="List3"/>
    <w:rsid w:val="00111672"/>
    <w:pPr>
      <w:numPr>
        <w:numId w:val="4"/>
      </w:numPr>
    </w:pPr>
  </w:style>
  <w:style w:type="paragraph" w:styleId="ListNumber4">
    <w:name w:val="List Number 4"/>
    <w:basedOn w:val="List4"/>
    <w:rsid w:val="00111672"/>
    <w:pPr>
      <w:numPr>
        <w:numId w:val="5"/>
      </w:numPr>
    </w:pPr>
  </w:style>
  <w:style w:type="paragraph" w:styleId="ListNumber5">
    <w:name w:val="List Number 5"/>
    <w:basedOn w:val="List5"/>
    <w:rsid w:val="00111672"/>
    <w:pPr>
      <w:numPr>
        <w:numId w:val="6"/>
      </w:numPr>
    </w:pPr>
  </w:style>
  <w:style w:type="paragraph" w:styleId="BlockText">
    <w:name w:val="Block Text"/>
    <w:basedOn w:val="Normal"/>
    <w:rsid w:val="00111672"/>
    <w:pPr>
      <w:spacing w:after="120"/>
      <w:ind w:left="1440" w:right="1440"/>
    </w:pPr>
  </w:style>
  <w:style w:type="character" w:customStyle="1" w:styleId="Subscript">
    <w:name w:val="Subscript"/>
    <w:basedOn w:val="DefaultParagraphFont"/>
    <w:rsid w:val="00111672"/>
    <w:rPr>
      <w:sz w:val="16"/>
      <w:vertAlign w:val="subscript"/>
    </w:rPr>
  </w:style>
  <w:style w:type="character" w:customStyle="1" w:styleId="Superscript">
    <w:name w:val="Superscript"/>
    <w:basedOn w:val="DefaultParagraphFont"/>
    <w:rsid w:val="00111672"/>
    <w:rPr>
      <w:sz w:val="16"/>
      <w:vertAlign w:val="superscript"/>
    </w:rPr>
  </w:style>
  <w:style w:type="character" w:customStyle="1" w:styleId="Symbols">
    <w:name w:val="Symbols"/>
    <w:basedOn w:val="DefaultParagraphFont"/>
    <w:rsid w:val="00111672"/>
    <w:rPr>
      <w:rFonts w:ascii="Symbol" w:hAnsi="Symbol"/>
    </w:rPr>
  </w:style>
  <w:style w:type="character" w:customStyle="1" w:styleId="MenuOptions">
    <w:name w:val="Menu Options"/>
    <w:basedOn w:val="DefaultParagraphFont"/>
    <w:rsid w:val="00111672"/>
    <w:rPr>
      <w:rFonts w:ascii="Arial Narrow" w:hAnsi="Arial Narrow"/>
      <w:smallCaps/>
    </w:rPr>
  </w:style>
  <w:style w:type="character" w:customStyle="1" w:styleId="Buttons">
    <w:name w:val="Buttons"/>
    <w:basedOn w:val="DefaultParagraphFont"/>
    <w:rsid w:val="00111672"/>
    <w:rPr>
      <w:b/>
    </w:rPr>
  </w:style>
  <w:style w:type="character" w:customStyle="1" w:styleId="Underlined">
    <w:name w:val="Underlined"/>
    <w:basedOn w:val="DefaultParagraphFont"/>
    <w:rsid w:val="00111672"/>
    <w:rPr>
      <w:u w:val="single"/>
    </w:rPr>
  </w:style>
  <w:style w:type="paragraph" w:customStyle="1" w:styleId="TableBodyTextRight">
    <w:name w:val="Table Body Text Right"/>
    <w:basedOn w:val="TableBodyText"/>
    <w:rsid w:val="00111672"/>
    <w:pPr>
      <w:widowControl w:val="0"/>
      <w:autoSpaceDE w:val="0"/>
      <w:autoSpaceDN w:val="0"/>
      <w:adjustRightInd w:val="0"/>
      <w:jc w:val="right"/>
    </w:pPr>
    <w:rPr>
      <w:rFonts w:cs="Arial"/>
      <w:szCs w:val="18"/>
    </w:rPr>
  </w:style>
  <w:style w:type="paragraph" w:customStyle="1" w:styleId="CopyrightText">
    <w:name w:val="Copyright Text"/>
    <w:basedOn w:val="BodyText"/>
    <w:rsid w:val="00111672"/>
    <w:rPr>
      <w:sz w:val="18"/>
    </w:rPr>
  </w:style>
  <w:style w:type="paragraph" w:customStyle="1" w:styleId="BodySmallRight">
    <w:name w:val="Body Small Right"/>
    <w:basedOn w:val="BodyTextRight"/>
    <w:rsid w:val="00111672"/>
    <w:rPr>
      <w:sz w:val="18"/>
      <w:szCs w:val="18"/>
    </w:rPr>
  </w:style>
  <w:style w:type="paragraph" w:customStyle="1" w:styleId="MarginEdition">
    <w:name w:val="Margin Edition"/>
    <w:basedOn w:val="MarginNote"/>
    <w:rsid w:val="00111672"/>
    <w:pPr>
      <w:spacing w:before="0" w:after="0"/>
    </w:pPr>
    <w:rPr>
      <w:rFonts w:ascii="Times New Roman" w:hAnsi="Times New Roman"/>
      <w:color w:val="999999"/>
    </w:rPr>
  </w:style>
  <w:style w:type="paragraph" w:customStyle="1" w:styleId="Spacer">
    <w:name w:val="Spacer"/>
    <w:basedOn w:val="Normal"/>
    <w:rsid w:val="00111672"/>
    <w:rPr>
      <w:sz w:val="2"/>
      <w:szCs w:val="2"/>
    </w:rPr>
  </w:style>
  <w:style w:type="character" w:customStyle="1" w:styleId="Small">
    <w:name w:val="Small"/>
    <w:basedOn w:val="DefaultParagraphFont"/>
    <w:rsid w:val="00111672"/>
    <w:rPr>
      <w:sz w:val="16"/>
    </w:rPr>
  </w:style>
  <w:style w:type="paragraph" w:customStyle="1" w:styleId="WideTable">
    <w:name w:val="Wide Table"/>
    <w:basedOn w:val="Normal"/>
    <w:rsid w:val="00111672"/>
    <w:pPr>
      <w:ind w:left="-1418"/>
    </w:pPr>
    <w:rPr>
      <w:sz w:val="2"/>
      <w:szCs w:val="2"/>
    </w:rPr>
  </w:style>
  <w:style w:type="character" w:styleId="PageNumber">
    <w:name w:val="page number"/>
    <w:basedOn w:val="DefaultParagraphFont"/>
    <w:rsid w:val="00111672"/>
  </w:style>
  <w:style w:type="paragraph" w:styleId="Quote">
    <w:name w:val="Quote"/>
    <w:basedOn w:val="Heading1"/>
    <w:link w:val="QuoteChar"/>
    <w:qFormat/>
    <w:rsid w:val="00111672"/>
    <w:rPr>
      <w:b w:val="0"/>
      <w:sz w:val="72"/>
      <w:szCs w:val="72"/>
      <w:lang w:val="en-NZ"/>
    </w:rPr>
  </w:style>
  <w:style w:type="character" w:customStyle="1" w:styleId="QuoteChar">
    <w:name w:val="Quote Char"/>
    <w:basedOn w:val="DefaultParagraphFont"/>
    <w:link w:val="Quote"/>
    <w:rsid w:val="001116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672"/>
    <w:pPr>
      <w:pageBreakBefore/>
    </w:pPr>
  </w:style>
  <w:style w:type="paragraph" w:customStyle="1" w:styleId="Border">
    <w:name w:val="Border"/>
    <w:basedOn w:val="Normal"/>
    <w:qFormat/>
    <w:rsid w:val="001116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672"/>
    <w:rPr>
      <w:b/>
      <w:bCs/>
      <w:i/>
      <w:iCs/>
      <w:color w:val="auto"/>
    </w:rPr>
  </w:style>
  <w:style w:type="paragraph" w:styleId="IntenseQuote">
    <w:name w:val="Intense Quote"/>
    <w:basedOn w:val="Normal"/>
    <w:next w:val="Normal"/>
    <w:link w:val="IntenseQuoteChar"/>
    <w:uiPriority w:val="30"/>
    <w:qFormat/>
    <w:rsid w:val="001116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6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672"/>
    <w:rPr>
      <w:smallCaps/>
      <w:color w:val="auto"/>
      <w:u w:val="single"/>
    </w:rPr>
  </w:style>
  <w:style w:type="character" w:styleId="IntenseReference">
    <w:name w:val="Intense Reference"/>
    <w:basedOn w:val="DefaultParagraphFont"/>
    <w:uiPriority w:val="32"/>
    <w:qFormat/>
    <w:rsid w:val="00111672"/>
    <w:rPr>
      <w:b/>
      <w:bCs/>
      <w:smallCaps/>
      <w:color w:val="auto"/>
      <w:spacing w:val="5"/>
      <w:u w:val="single"/>
    </w:rPr>
  </w:style>
  <w:style w:type="paragraph" w:customStyle="1" w:styleId="2ColumnHeading">
    <w:name w:val="2Column Heading"/>
    <w:basedOn w:val="BodyText"/>
    <w:qFormat/>
    <w:rsid w:val="00111672"/>
    <w:pPr>
      <w:spacing w:after="60"/>
      <w:ind w:left="-2268"/>
    </w:pPr>
    <w:rPr>
      <w:b/>
    </w:rPr>
  </w:style>
  <w:style w:type="paragraph" w:customStyle="1" w:styleId="Heading1TOC">
    <w:name w:val="Heading1 TOC"/>
    <w:basedOn w:val="Normal"/>
    <w:qFormat/>
    <w:rsid w:val="00111672"/>
    <w:pPr>
      <w:spacing w:before="240" w:after="120"/>
    </w:pPr>
    <w:rPr>
      <w:rFonts w:ascii="Times New Roman" w:hAnsi="Times New Roman"/>
      <w:b/>
      <w:sz w:val="32"/>
    </w:rPr>
  </w:style>
  <w:style w:type="paragraph" w:customStyle="1" w:styleId="Heading2TOC">
    <w:name w:val="Heading2 TOC"/>
    <w:basedOn w:val="Normal"/>
    <w:qFormat/>
    <w:rsid w:val="00111672"/>
    <w:pPr>
      <w:spacing w:before="240" w:after="60"/>
    </w:pPr>
    <w:rPr>
      <w:rFonts w:ascii="Times New Roman" w:hAnsi="Times New Roman"/>
      <w:b/>
      <w:sz w:val="28"/>
    </w:rPr>
  </w:style>
  <w:style w:type="character" w:customStyle="1" w:styleId="Underline">
    <w:name w:val="Underline"/>
    <w:basedOn w:val="DefaultParagraphFont"/>
    <w:qFormat/>
    <w:rsid w:val="00111672"/>
    <w:rPr>
      <w:u w:val="single"/>
    </w:rPr>
  </w:style>
  <w:style w:type="character" w:customStyle="1" w:styleId="BoldandItalics">
    <w:name w:val="Bold and Italics"/>
    <w:qFormat/>
    <w:rsid w:val="00111672"/>
    <w:rPr>
      <w:b/>
      <w:i/>
      <w:u w:val="none"/>
    </w:rPr>
  </w:style>
  <w:style w:type="paragraph" w:styleId="BalloonText">
    <w:name w:val="Balloon Text"/>
    <w:basedOn w:val="Normal"/>
    <w:link w:val="BalloonTextChar"/>
    <w:rsid w:val="00111672"/>
    <w:rPr>
      <w:rFonts w:ascii="Tahoma" w:hAnsi="Tahoma" w:cs="Tahoma"/>
      <w:sz w:val="16"/>
      <w:szCs w:val="16"/>
    </w:rPr>
  </w:style>
  <w:style w:type="character" w:customStyle="1" w:styleId="BalloonTextChar">
    <w:name w:val="Balloon Text Char"/>
    <w:basedOn w:val="DefaultParagraphFont"/>
    <w:link w:val="BalloonText"/>
    <w:rsid w:val="001116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6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6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672"/>
    <w:rPr>
      <w:b/>
      <w:color w:val="660033"/>
      <w:spacing w:val="0"/>
    </w:rPr>
  </w:style>
  <w:style w:type="paragraph" w:customStyle="1" w:styleId="Nameditemlist">
    <w:name w:val="Named item list"/>
    <w:basedOn w:val="BodyText"/>
    <w:qFormat/>
    <w:rsid w:val="00111672"/>
    <w:pPr>
      <w:tabs>
        <w:tab w:val="left" w:pos="2835"/>
      </w:tabs>
      <w:ind w:left="2835" w:hanging="2835"/>
    </w:pPr>
  </w:style>
  <w:style w:type="paragraph" w:customStyle="1" w:styleId="BodyTextnopadding">
    <w:name w:val="Body Text no padding"/>
    <w:basedOn w:val="BodyText"/>
    <w:qFormat/>
    <w:rsid w:val="00111672"/>
    <w:pPr>
      <w:spacing w:before="0" w:after="0"/>
    </w:pPr>
  </w:style>
  <w:style w:type="paragraph" w:customStyle="1" w:styleId="BodyTextBold">
    <w:name w:val="Body Text Bold"/>
    <w:basedOn w:val="BodyText"/>
    <w:qFormat/>
    <w:rsid w:val="00111672"/>
    <w:rPr>
      <w:b/>
    </w:rPr>
  </w:style>
  <w:style w:type="character" w:styleId="Hyperlink">
    <w:name w:val="Hyperlink"/>
    <w:basedOn w:val="DefaultParagraphFont"/>
    <w:uiPriority w:val="99"/>
    <w:unhideWhenUsed/>
    <w:rsid w:val="00CD58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6352</Characters>
  <Application>Microsoft Office Word</Application>
  <DocSecurity>0</DocSecurity>
  <Lines>244</Lines>
  <Paragraphs>103</Paragraphs>
  <ScaleCrop>false</ScaleCrop>
  <Company>Author-it Software Corporation Ltd.</Company>
  <LinksUpToDate>false</LinksUpToDate>
  <CharactersWithSpaces>7246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UEEHA0025 Install explosion-protected equipment and associated apparatus and wiring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2024-11-29T01:04:00Z</dcterms:created>
  <dcterms:modified xsi:type="dcterms:W3CDTF">2024-11-29T01:04:00Z</dcterms:modified>
</cp:coreProperties>
</file>