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778" w:rsidP="00D96778">
      <w:pPr>
        <w:pStyle w:val="Title"/>
      </w:pPr>
      <w:r>
        <w:fldChar w:fldCharType="begin"/>
      </w:r>
      <w:r>
        <w:instrText xml:space="preserve"> TITLE   \* MERGEFORMAT </w:instrText>
      </w:r>
      <w:r>
        <w:fldChar w:fldCharType="separate"/>
      </w:r>
      <w:r>
        <w:t>UEEHA0022 Determine the explosion-protection requirements to meet a specified classified hazardous area</w:t>
      </w:r>
      <w:r>
        <w:fldChar w:fldCharType="end"/>
      </w:r>
    </w:p>
    <w:p w:rsidR="00D96778" w:rsidP="00D96778">
      <w:pPr>
        <w:pStyle w:val="Version"/>
        <w:sectPr w:rsidSect="009C7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134" w:rsidP="009C7134">
      <w:pPr>
        <w:pStyle w:val="SuperHeading"/>
      </w:pPr>
      <w:r w:rsidRPr="009C7134">
        <w:t>UEEHA0022 Determine the explosion-protection requirements to meet a specified classified hazardous area</w:t>
      </w:r>
    </w:p>
    <w:p w:rsidR="00000000" w:rsidRPr="009C7134" w:rsidP="009C7134">
      <w:pPr>
        <w:pStyle w:val="Heading1"/>
      </w:pPr>
      <w:bookmarkStart w:id="1" w:name="O_1242905"/>
      <w:bookmarkEnd w:id="1"/>
      <w:r w:rsidRPr="009C7134">
        <w:t>Modification History</w:t>
      </w:r>
    </w:p>
    <w:tbl>
      <w:tblPr>
        <w:tblW w:w="9497" w:type="dxa"/>
        <w:tblLayout w:type="fixed"/>
        <w:tblCellMar>
          <w:left w:w="62" w:type="dxa"/>
          <w:right w:w="62" w:type="dxa"/>
        </w:tblCellMar>
        <w:tblLook w:val="0000"/>
      </w:tblPr>
      <w:tblGrid>
        <w:gridCol w:w="9497"/>
      </w:tblGrid>
      <w:tr w:rsidTr="009C7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t>Release 1. This is the first release of this unit of competency in the UEE Electrotechnology Training Package.</w:t>
            </w:r>
          </w:p>
          <w:p w:rsidR="00000000" w:rsidRPr="009C7134" w:rsidP="009C7134">
            <w:pPr>
              <w:pStyle w:val="BodyText"/>
            </w:pPr>
            <w:r w:rsidRPr="009C7134">
              <w:t>This unit replaces and is equivalent to UEEHA0003 Determine the explosion-protection requirements to meet a specified classified hazardous area.</w:t>
            </w:r>
          </w:p>
          <w:p w:rsidR="00000000" w:rsidRPr="009C7134" w:rsidP="009C7134">
            <w:pPr>
              <w:pStyle w:val="BodyText"/>
            </w:pPr>
            <w:r w:rsidRPr="009C7134">
              <w:t>Prerequisite requirements have been amended.</w:t>
            </w:r>
          </w:p>
        </w:tc>
      </w:tr>
    </w:tbl>
    <w:p w:rsidR="00000000" w:rsidRPr="009C7134" w:rsidP="009C7134">
      <w:pPr>
        <w:pStyle w:val="NoPaddingFontSize1"/>
      </w:pPr>
    </w:p>
    <w:p w:rsidR="00000000" w:rsidRPr="009C7134" w:rsidP="009C7134">
      <w:pPr>
        <w:pStyle w:val="AllowPageBreak"/>
      </w:pPr>
    </w:p>
    <w:p w:rsidR="00000000" w:rsidRPr="009C7134" w:rsidP="009C7134">
      <w:pPr>
        <w:pStyle w:val="Heading1"/>
      </w:pPr>
      <w:bookmarkStart w:id="2" w:name="O_1242906"/>
      <w:bookmarkEnd w:id="2"/>
      <w:r w:rsidRPr="009C7134">
        <w:t>Application</w:t>
      </w:r>
    </w:p>
    <w:tbl>
      <w:tblPr>
        <w:tblW w:w="9497" w:type="dxa"/>
        <w:tblLayout w:type="fixed"/>
        <w:tblCellMar>
          <w:left w:w="62" w:type="dxa"/>
          <w:right w:w="62" w:type="dxa"/>
        </w:tblCellMar>
        <w:tblLook w:val="0000"/>
      </w:tblPr>
      <w:tblGrid>
        <w:gridCol w:w="9497"/>
      </w:tblGrid>
      <w:tr w:rsidTr="009C7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t>This unit involves the skills and</w:t>
            </w:r>
            <w:r w:rsidRPr="009C7134">
              <w:t xml:space="preserve"> knowledge required to determine the explosion-protection requirements to meet a specified classified hazardous area. It includes determining the type of explosion-protected equipment for a given explosive atmosphere. It also includes reading and interpret</w:t>
            </w:r>
            <w:r w:rsidRPr="009C7134">
              <w:t>ing the explosion-protection fundamentals in explosive atmosphere technical standards; understanding the information given in certification documents, verification dossiers and equipment marking; identifying the design features of each type of explosion-pr</w:t>
            </w:r>
            <w:r w:rsidRPr="009C7134">
              <w:t>otected equipment; understanding actions and conditions that would void the explosion-protection afforded by each equipment type; and understanding where each equipment type may be used.</w:t>
            </w:r>
          </w:p>
          <w:p w:rsidR="00000000" w:rsidRPr="009C7134" w:rsidP="009C7134">
            <w:pPr>
              <w:pStyle w:val="BodyText"/>
            </w:pPr>
            <w:r w:rsidRPr="009C7134">
              <w:t>This unit applies to design, installation, maintenance, inspection, a</w:t>
            </w:r>
            <w:r w:rsidRPr="009C7134">
              <w:t>uditing, and repair and overhaul functions.</w:t>
            </w:r>
          </w:p>
          <w:p w:rsidR="00000000" w:rsidRPr="009C7134" w:rsidP="009C7134">
            <w:pPr>
              <w:pStyle w:val="BodyText"/>
            </w:pPr>
            <w:r w:rsidRPr="009C7134">
              <w:t>Site-specific work permits may be required to work in the hazardous environment. In addition, other permits may be required, such as confined space and to operate specific pieces of equipment such as elevated wor</w:t>
            </w:r>
            <w:r w:rsidRPr="009C7134">
              <w:t>k platforms (EWPs) in various jurisdictions.</w:t>
            </w:r>
          </w:p>
          <w:p w:rsidR="00000000" w:rsidRPr="009C7134" w:rsidP="009C7134">
            <w:pPr>
              <w:pStyle w:val="BodyText"/>
            </w:pPr>
            <w:r w:rsidRPr="009C7134">
              <w:t>Additional and/or other conditions may apply in some jurisdictions subject to regulations related to electrical work. Practice in the workplace and during training is also subject to work health and safety (WHS)</w:t>
            </w:r>
            <w:r w:rsidRPr="009C7134">
              <w:t>/occupational health and safety (OHS) regulations.</w:t>
            </w:r>
          </w:p>
          <w:p w:rsidR="00000000" w:rsidRPr="009C7134" w:rsidP="009C7134">
            <w:pPr>
              <w:pStyle w:val="BodyText"/>
            </w:pPr>
            <w:r w:rsidRPr="009C7134">
              <w:t>This unit of competency and associated assessment requirements is adopted from clause 2.4 of AS/NZS 4761.1:2018 Competencies for working with electrical equipment for hazardous areas (EEHA). There may be d</w:t>
            </w:r>
            <w:r w:rsidRPr="009C7134">
              <w:t>ifferences between the content of this unit and AS/NZS 4761.1:2018, so the Standard must be checked to ensure compliance with it. Clause 2.4 of AS/NZS 4761.1:2018 includes the following precondition for assessment:</w:t>
            </w:r>
          </w:p>
          <w:p w:rsidR="00000000" w:rsidRPr="009C7134" w:rsidP="009C7134">
            <w:pPr>
              <w:pStyle w:val="ListBullet"/>
            </w:pPr>
            <w:r>
              <w:t>“</w:t>
            </w:r>
            <w:r w:rsidRPr="009C7134">
              <w:t xml:space="preserve">A candidate seeking assessment in this </w:t>
            </w:r>
            <w:r w:rsidRPr="009C7134">
              <w:t>unit shall have been deemed competent to install, maintain, inspect and/or engineer electrotechnology equipment and installations from AQF level 3 or NZQF level 4 or higher.</w:t>
            </w:r>
            <w:r>
              <w:t>”</w:t>
            </w:r>
          </w:p>
        </w:tc>
      </w:tr>
    </w:tbl>
    <w:p w:rsidR="00000000" w:rsidRPr="009C7134" w:rsidP="009C7134">
      <w:pPr>
        <w:pStyle w:val="NoPaddingFontSize1"/>
      </w:pPr>
    </w:p>
    <w:p w:rsidR="00000000" w:rsidRPr="009C7134" w:rsidP="009C7134">
      <w:pPr>
        <w:pStyle w:val="AllowPageBreak"/>
      </w:pPr>
    </w:p>
    <w:p w:rsidR="00000000" w:rsidRPr="009C7134" w:rsidP="009C7134">
      <w:pPr>
        <w:pStyle w:val="Heading1"/>
      </w:pPr>
      <w:bookmarkStart w:id="3" w:name="O_1242907"/>
      <w:bookmarkEnd w:id="3"/>
      <w:r w:rsidRPr="009C7134">
        <w:t>Pre-requisite Unit</w:t>
      </w:r>
    </w:p>
    <w:tbl>
      <w:tblPr>
        <w:tblW w:w="9497" w:type="dxa"/>
        <w:tblLayout w:type="fixed"/>
        <w:tblCellMar>
          <w:left w:w="62" w:type="dxa"/>
          <w:right w:w="62" w:type="dxa"/>
        </w:tblCellMar>
        <w:tblLook w:val="0000"/>
      </w:tblPr>
      <w:tblGrid>
        <w:gridCol w:w="9497"/>
      </w:tblGrid>
      <w:tr w:rsidTr="009C7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t>UEEHA0004 Enter a classified hazardous area to undertake work related to electrical equipment</w:t>
            </w:r>
          </w:p>
        </w:tc>
      </w:tr>
    </w:tbl>
    <w:p w:rsidR="00000000" w:rsidRPr="009C7134" w:rsidP="009C7134">
      <w:pPr>
        <w:pStyle w:val="NoPaddingFontSize1"/>
      </w:pPr>
    </w:p>
    <w:p w:rsidR="00000000" w:rsidRPr="009C7134" w:rsidP="009C7134">
      <w:pPr>
        <w:pStyle w:val="AllowPageBreak"/>
      </w:pPr>
    </w:p>
    <w:p w:rsidR="00000000" w:rsidRPr="009C7134" w:rsidP="009C7134">
      <w:pPr>
        <w:pStyle w:val="Heading1"/>
      </w:pPr>
      <w:bookmarkStart w:id="4" w:name="O_1242908"/>
      <w:bookmarkEnd w:id="4"/>
      <w:r w:rsidRPr="009C7134">
        <w:t>Competency Field</w:t>
      </w:r>
    </w:p>
    <w:tbl>
      <w:tblPr>
        <w:tblW w:w="9497" w:type="dxa"/>
        <w:tblLayout w:type="fixed"/>
        <w:tblCellMar>
          <w:left w:w="62" w:type="dxa"/>
          <w:right w:w="62" w:type="dxa"/>
        </w:tblCellMar>
        <w:tblLook w:val="0000"/>
      </w:tblPr>
      <w:tblGrid>
        <w:gridCol w:w="9497"/>
      </w:tblGrid>
      <w:tr w:rsidTr="009C7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t>Hazardous</w:t>
            </w:r>
          </w:p>
        </w:tc>
      </w:tr>
    </w:tbl>
    <w:p w:rsidR="00000000" w:rsidRPr="009C7134" w:rsidP="009C7134">
      <w:pPr>
        <w:pStyle w:val="NoPaddingFontSize1"/>
      </w:pPr>
    </w:p>
    <w:p w:rsidR="00000000" w:rsidRPr="009C7134" w:rsidP="009C7134">
      <w:pPr>
        <w:pStyle w:val="AllowPageBreak"/>
      </w:pPr>
    </w:p>
    <w:p w:rsidR="00000000" w:rsidRPr="009C7134" w:rsidP="009C7134">
      <w:pPr>
        <w:pStyle w:val="Heading1"/>
      </w:pPr>
      <w:bookmarkStart w:id="5" w:name="O_1242909"/>
      <w:bookmarkEnd w:id="5"/>
      <w:r w:rsidRPr="009C7134">
        <w:t>Unit Sector</w:t>
      </w:r>
    </w:p>
    <w:tbl>
      <w:tblPr>
        <w:tblW w:w="9497" w:type="dxa"/>
        <w:tblLayout w:type="fixed"/>
        <w:tblCellMar>
          <w:left w:w="62" w:type="dxa"/>
          <w:right w:w="62" w:type="dxa"/>
        </w:tblCellMar>
        <w:tblLook w:val="0000"/>
      </w:tblPr>
      <w:tblGrid>
        <w:gridCol w:w="9497"/>
      </w:tblGrid>
      <w:tr w:rsidTr="009C7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t>Electrotechnology</w:t>
            </w:r>
          </w:p>
        </w:tc>
      </w:tr>
    </w:tbl>
    <w:p w:rsidR="00000000" w:rsidRPr="009C7134" w:rsidP="009C7134">
      <w:pPr>
        <w:pStyle w:val="NoPaddingFontSize1"/>
      </w:pPr>
    </w:p>
    <w:p w:rsidR="00000000" w:rsidRPr="009C7134" w:rsidP="009C7134">
      <w:pPr>
        <w:pStyle w:val="AllowPageBreak"/>
      </w:pPr>
    </w:p>
    <w:p w:rsidR="00000000" w:rsidRPr="009C7134" w:rsidP="009C7134">
      <w:pPr>
        <w:pStyle w:val="Heading1"/>
      </w:pPr>
      <w:bookmarkStart w:id="6" w:name="O_1242910"/>
      <w:bookmarkEnd w:id="6"/>
      <w:r w:rsidRPr="009C7134">
        <w:t>Elements and Performance Criteria</w:t>
      </w:r>
    </w:p>
    <w:tbl>
      <w:tblPr>
        <w:tblW w:w="9497" w:type="dxa"/>
        <w:tblLayout w:type="fixed"/>
        <w:tblCellMar>
          <w:left w:w="62" w:type="dxa"/>
          <w:right w:w="62" w:type="dxa"/>
        </w:tblCellMar>
        <w:tblLook w:val="0000"/>
      </w:tblPr>
      <w:tblGrid>
        <w:gridCol w:w="403"/>
        <w:gridCol w:w="2861"/>
        <w:gridCol w:w="697"/>
        <w:gridCol w:w="5536"/>
      </w:tblGrid>
      <w:tr w:rsidTr="009C7134">
        <w:tblPrEx>
          <w:tblW w:w="9497" w:type="dxa"/>
          <w:tblLayout w:type="fixed"/>
          <w:tblCellMar>
            <w:left w:w="62" w:type="dxa"/>
            <w:right w:w="62" w:type="dxa"/>
          </w:tblCellMar>
          <w:tblLook w:val="0000"/>
        </w:tblPrEx>
        <w:tc>
          <w:tcPr>
            <w:tcW w:w="3264" w:type="dxa"/>
            <w:gridSpan w:val="2"/>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rPr>
                <w:rStyle w:val="SpecialBold"/>
              </w:rPr>
              <w:t>ELEMENTS</w:t>
            </w:r>
          </w:p>
        </w:tc>
        <w:tc>
          <w:tcPr>
            <w:tcW w:w="6233" w:type="dxa"/>
            <w:gridSpan w:val="2"/>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PERFORMANCE CRITERIA</w:t>
            </w:r>
          </w:p>
        </w:tc>
      </w:tr>
      <w:tr w:rsidTr="009C7134">
        <w:tblPrEx>
          <w:tblW w:w="9497" w:type="dxa"/>
          <w:tblLayout w:type="fixed"/>
          <w:tblCellMar>
            <w:left w:w="62" w:type="dxa"/>
            <w:right w:w="62" w:type="dxa"/>
          </w:tblCellMar>
          <w:tblLook w:val="0000"/>
        </w:tblPrEx>
        <w:tc>
          <w:tcPr>
            <w:tcW w:w="3264" w:type="dxa"/>
            <w:gridSpan w:val="2"/>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Elements describe the essential outcomes.</w:t>
            </w:r>
          </w:p>
        </w:tc>
        <w:tc>
          <w:tcPr>
            <w:tcW w:w="6233" w:type="dxa"/>
            <w:gridSpan w:val="2"/>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Performance criteria describe the performance needed to demonstrate achievement of the element.</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rPr>
                <w:rStyle w:val="SpecialBold"/>
              </w:rPr>
              <w:t xml:space="preserve">1 </w:t>
            </w:r>
          </w:p>
        </w:tc>
        <w:tc>
          <w:tcPr>
            <w:tcW w:w="2861"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rPr>
                <w:rStyle w:val="SpecialBold"/>
              </w:rPr>
              <w:t>Prepare to review explosion-protection technical standards</w:t>
            </w: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1.1</w:t>
            </w:r>
          </w:p>
        </w:tc>
        <w:tc>
          <w:tcPr>
            <w:tcW w:w="5536"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Technical standards specifying the requirements to which each type of explosion-protected equipment is required to comply are identified</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C71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1.2</w:t>
            </w:r>
          </w:p>
        </w:tc>
        <w:tc>
          <w:tcPr>
            <w:tcW w:w="5536"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A verification dossier for a site that has gas hazards is reviewed and requirements for the explosive atmosphere</w:t>
            </w:r>
            <w:r w:rsidRPr="009C7134">
              <w:t>s are established</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C71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1.3</w:t>
            </w:r>
          </w:p>
        </w:tc>
        <w:tc>
          <w:tcPr>
            <w:tcW w:w="5536"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A verification dossier for a site that has dust hazards is reviewed and requirements for the explosive atmospheres are established</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rPr>
                <w:rStyle w:val="SpecialBold"/>
              </w:rPr>
              <w:t>2</w:t>
            </w:r>
          </w:p>
        </w:tc>
        <w:tc>
          <w:tcPr>
            <w:tcW w:w="2861"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rPr>
                <w:rStyle w:val="SpecialBold"/>
              </w:rPr>
              <w:t>Ascertain the requirements for each explosion-protection type</w:t>
            </w: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2.1</w:t>
            </w:r>
          </w:p>
        </w:tc>
        <w:tc>
          <w:tcPr>
            <w:tcW w:w="5536"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Protective features of each equ</w:t>
            </w:r>
            <w:r w:rsidRPr="009C7134">
              <w:t>ipment type are identified through application of knowledge of explosion-protection methods</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C71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2.2</w:t>
            </w:r>
          </w:p>
        </w:tc>
        <w:tc>
          <w:tcPr>
            <w:tcW w:w="5536"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Equipment standards are reviewed to establish the compliance requirements for each equipment type</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C71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2.3</w:t>
            </w:r>
          </w:p>
        </w:tc>
        <w:tc>
          <w:tcPr>
            <w:tcW w:w="5536"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Aspects that are vulnerable to voiding the protection due to defective installation or poor maintenance are determined from knowledge of equipment types and equipment standards</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C71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2.4</w:t>
            </w:r>
          </w:p>
        </w:tc>
        <w:tc>
          <w:tcPr>
            <w:tcW w:w="5536"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Items of explosion-protected equipment are examined to identify any cond</w:t>
            </w:r>
            <w:r w:rsidRPr="009C7134">
              <w:t>ition that would void the protection</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C71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2.5</w:t>
            </w:r>
          </w:p>
        </w:tc>
        <w:tc>
          <w:tcPr>
            <w:tcW w:w="5536"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Where particular explosion-protected equipment types may be used, relevant technical standards, equipment certification and the verification dossier for a given site are established</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rPr>
                <w:rStyle w:val="SpecialBold"/>
              </w:rPr>
              <w:t>3</w:t>
            </w:r>
          </w:p>
        </w:tc>
        <w:tc>
          <w:tcPr>
            <w:tcW w:w="2861"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rPr>
                <w:rStyle w:val="SpecialBold"/>
              </w:rPr>
              <w:t>Identify acceptable equipme</w:t>
            </w:r>
            <w:r w:rsidRPr="009C7134">
              <w:rPr>
                <w:rStyle w:val="SpecialBold"/>
              </w:rPr>
              <w:t>nt certification</w:t>
            </w: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3.1</w:t>
            </w:r>
          </w:p>
        </w:tc>
        <w:tc>
          <w:tcPr>
            <w:tcW w:w="5536"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Knowledge of the equipment certification process and acceptable standards are applied</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C71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3.2</w:t>
            </w:r>
          </w:p>
        </w:tc>
        <w:tc>
          <w:tcPr>
            <w:tcW w:w="5536"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The required marking on certified equipment is obtained from relevant technical standards</w:t>
            </w:r>
          </w:p>
        </w:tc>
      </w:tr>
      <w:tr w:rsidTr="009C71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C71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rPr>
                <w:rStyle w:val="SpecialBold"/>
              </w:rPr>
              <w:t>3.3</w:t>
            </w:r>
          </w:p>
        </w:tc>
        <w:tc>
          <w:tcPr>
            <w:tcW w:w="5536"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t>The suitability of explosion-protection equipment items for a given application and location is ascertained from relevant technical standards, certification documents, equipment marking and the verification dossier for a given site</w:t>
            </w:r>
          </w:p>
        </w:tc>
      </w:tr>
    </w:tbl>
    <w:p w:rsidR="00000000" w:rsidRPr="009C7134" w:rsidP="009C7134">
      <w:pPr>
        <w:pStyle w:val="NoPaddingFontSize1"/>
      </w:pPr>
    </w:p>
    <w:p w:rsidR="00000000" w:rsidRPr="009C7134" w:rsidP="009C7134">
      <w:pPr>
        <w:pStyle w:val="AllowPageBreak"/>
      </w:pPr>
    </w:p>
    <w:p w:rsidR="00000000" w:rsidRPr="009C7134" w:rsidP="009C7134">
      <w:pPr>
        <w:pStyle w:val="Heading1"/>
      </w:pPr>
      <w:bookmarkStart w:id="7" w:name="O_1242911"/>
      <w:bookmarkEnd w:id="7"/>
      <w:r w:rsidRPr="009C7134">
        <w:t>Fou</w:t>
      </w:r>
      <w:r w:rsidRPr="009C7134">
        <w:t>ndation Skills</w:t>
      </w:r>
    </w:p>
    <w:tbl>
      <w:tblPr>
        <w:tblW w:w="9497" w:type="dxa"/>
        <w:tblLayout w:type="fixed"/>
        <w:tblCellMar>
          <w:left w:w="62" w:type="dxa"/>
          <w:right w:w="62" w:type="dxa"/>
        </w:tblCellMar>
        <w:tblLook w:val="0000"/>
      </w:tblPr>
      <w:tblGrid>
        <w:gridCol w:w="9497"/>
      </w:tblGrid>
      <w:tr w:rsidTr="009C7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t>Foundation skills essential to performance are explicit in the performance criteria of this unit of competency.</w:t>
            </w:r>
          </w:p>
        </w:tc>
      </w:tr>
    </w:tbl>
    <w:p w:rsidR="00000000" w:rsidRPr="009C7134" w:rsidP="009C7134">
      <w:pPr>
        <w:pStyle w:val="NoPaddingFontSize1"/>
      </w:pPr>
    </w:p>
    <w:p w:rsidR="00000000" w:rsidRPr="009C7134" w:rsidP="009C7134">
      <w:pPr>
        <w:pStyle w:val="AllowPageBreak"/>
      </w:pPr>
    </w:p>
    <w:p w:rsidR="00000000" w:rsidRPr="009C7134" w:rsidP="009C7134">
      <w:pPr>
        <w:pStyle w:val="Heading1"/>
      </w:pPr>
      <w:bookmarkStart w:id="8" w:name="O_1242912"/>
      <w:bookmarkEnd w:id="8"/>
      <w:r w:rsidRPr="009C7134">
        <w:t>Range of Conditions</w:t>
      </w:r>
    </w:p>
    <w:tbl>
      <w:tblPr>
        <w:tblW w:w="9497" w:type="dxa"/>
        <w:tblLayout w:type="fixed"/>
        <w:tblCellMar>
          <w:left w:w="62" w:type="dxa"/>
          <w:right w:w="62" w:type="dxa"/>
        </w:tblCellMar>
        <w:tblLook w:val="0000"/>
      </w:tblPr>
      <w:tblGrid>
        <w:gridCol w:w="4638"/>
        <w:gridCol w:w="4859"/>
      </w:tblGrid>
      <w:tr w:rsidTr="009C713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t>Range is restricted to e</w:t>
            </w:r>
            <w:r w:rsidRPr="009C7134">
              <w:t>ssential operating conditions and any other variables essential to the work environment.</w:t>
            </w:r>
          </w:p>
          <w:p w:rsidR="00000000" w:rsidP="009C7134">
            <w:pPr>
              <w:pStyle w:val="BodyText"/>
              <w:rPr>
                <w:lang w:val="en-NZ"/>
              </w:rPr>
            </w:pPr>
            <w:r w:rsidRPr="009C7134">
              <w:t>Non-essential conditions may be found in the UEE Electrotechnology Training Package Companion Volume Implementation Guide.</w:t>
            </w:r>
          </w:p>
        </w:tc>
      </w:tr>
      <w:tr w:rsidTr="009C7134">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C7134">
            <w:pPr>
              <w:pStyle w:val="BodyText"/>
              <w:rPr>
                <w:lang w:val="en-NZ"/>
              </w:rPr>
            </w:pPr>
            <w:r w:rsidRPr="009C7134">
              <w:t>Determining the explosion-protection requi</w:t>
            </w:r>
            <w:r w:rsidRPr="009C7134">
              <w:t>rements to meet a specified classified hazardous area must include:</w:t>
            </w:r>
          </w:p>
        </w:tc>
        <w:tc>
          <w:tcPr>
            <w:tcW w:w="4859" w:type="dxa"/>
            <w:tcBorders>
              <w:top w:val="nil"/>
              <w:left w:val="nil"/>
              <w:bottom w:val="nil"/>
              <w:right w:val="nil"/>
            </w:tcBorders>
            <w:tcMar>
              <w:top w:w="0" w:type="dxa"/>
              <w:left w:w="62" w:type="dxa"/>
              <w:bottom w:w="0" w:type="dxa"/>
              <w:right w:w="62" w:type="dxa"/>
            </w:tcMar>
          </w:tcPr>
          <w:p w:rsidR="00000000" w:rsidRPr="009C7134" w:rsidP="009C7134">
            <w:pPr>
              <w:pStyle w:val="ListBullet"/>
            </w:pPr>
            <w:r w:rsidRPr="009C7134">
              <w:t>using standards, equipment certification and installation design documentation and site-specific verification dossiers for any application in which explosion-protected equipment is used</w:t>
            </w:r>
          </w:p>
        </w:tc>
      </w:tr>
    </w:tbl>
    <w:p w:rsidR="00000000" w:rsidRPr="009C7134" w:rsidP="009C7134">
      <w:pPr>
        <w:pStyle w:val="NoPaddingFontSize1"/>
      </w:pPr>
    </w:p>
    <w:p w:rsidR="00000000" w:rsidRPr="009C7134" w:rsidP="009C7134">
      <w:pPr>
        <w:pStyle w:val="AllowPageBreak"/>
      </w:pPr>
    </w:p>
    <w:p w:rsidR="00000000" w:rsidRPr="009C7134" w:rsidP="009C7134">
      <w:pPr>
        <w:pStyle w:val="Heading1"/>
      </w:pPr>
      <w:bookmarkStart w:id="9" w:name="O_1242913"/>
      <w:bookmarkEnd w:id="9"/>
      <w:r w:rsidRPr="009C7134">
        <w:t>Unit Mapping Information</w:t>
      </w:r>
    </w:p>
    <w:tbl>
      <w:tblPr>
        <w:tblW w:w="9497" w:type="dxa"/>
        <w:tblLayout w:type="fixed"/>
        <w:tblCellMar>
          <w:left w:w="62" w:type="dxa"/>
          <w:right w:w="62" w:type="dxa"/>
        </w:tblCellMar>
        <w:tblLook w:val="0000"/>
      </w:tblPr>
      <w:tblGrid>
        <w:gridCol w:w="9497"/>
      </w:tblGrid>
      <w:tr w:rsidTr="009C71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34" w:rsidP="009C7134">
            <w:pPr>
              <w:pStyle w:val="BodyText"/>
            </w:pPr>
            <w:r w:rsidRPr="009C7134">
              <w:t>This unit replaces and is equivalent to UEEHA0003 Determine the explosion-protection requirements to meet a specified classified hazardous area.</w:t>
            </w:r>
          </w:p>
        </w:tc>
      </w:tr>
    </w:tbl>
    <w:p w:rsidR="00000000" w:rsidRPr="009C7134" w:rsidP="009C7134">
      <w:pPr>
        <w:pStyle w:val="NoPaddingFontSize1"/>
      </w:pPr>
    </w:p>
    <w:p w:rsidR="00000000" w:rsidRPr="009C7134" w:rsidP="009C7134">
      <w:pPr>
        <w:pStyle w:val="AllowPageBreak"/>
      </w:pPr>
    </w:p>
    <w:p w:rsidR="00000000" w:rsidRPr="009C7134" w:rsidP="009C7134">
      <w:pPr>
        <w:pStyle w:val="Heading1"/>
      </w:pPr>
      <w:bookmarkStart w:id="10" w:name="O_1242920"/>
      <w:bookmarkEnd w:id="10"/>
      <w:r w:rsidRPr="009C7134">
        <w:t>Links</w:t>
      </w:r>
    </w:p>
    <w:p w:rsidR="00000000" w:rsidRPr="009C7134" w:rsidP="00D96778">
      <w:pPr>
        <w:pStyle w:val="BodyText"/>
      </w:pPr>
      <w:r w:rsidRPr="009C7134">
        <w:t>Companion Volume Im</w:t>
      </w:r>
      <w:r w:rsidRPr="009C7134">
        <w:t xml:space="preserve">plementation Guides are found in VETNet - </w:t>
      </w:r>
      <w:r>
        <w:fldChar w:fldCharType="begin"/>
      </w:r>
      <w:r>
        <w:instrText xml:space="preserve"> HYPERLINK "https://vetnet.gov.au/Pages/TrainingDocs.aspx?q=b8a8f136-5421-4ce1-92e0-2b50341431b6" </w:instrText>
      </w:r>
      <w:r>
        <w:fldChar w:fldCharType="separate"/>
      </w:r>
      <w:r w:rsidRPr="00D63620">
        <w:rPr>
          <w:rStyle w:val="Hyperlink"/>
        </w:rPr>
        <w:t>https://vetnet.gov.au/Pages/TrainingDocs.aspx?q=b8a8f136-5421-4ce1-92e0-2b50341431b6</w:t>
      </w:r>
      <w:r>
        <w:fldChar w:fldCharType="end"/>
      </w:r>
    </w:p>
    <w:p w:rsidR="00000000" w:rsidRPr="009C7134" w:rsidP="009C7134"/>
    <w:sectPr w:rsidSect="009C71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34" w:rsidRPr="00D96778" w:rsidP="00D96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78" w:rsidP="009C7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6778" w:rsidP="009C71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96778" w:rsidP="009C7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134" w:rsidRPr="00D96778" w:rsidP="00D967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78" w:rsidRPr="002D2AF8" w:rsidP="009C7134">
    <w:pPr>
      <w:pStyle w:val="Header"/>
      <w:framePr w:wrap="around"/>
    </w:pPr>
    <w:r>
      <w:fldChar w:fldCharType="begin"/>
    </w:r>
    <w:r>
      <w:instrText xml:space="preserve"> TITLE   \* MERGEFORMAT </w:instrText>
    </w:r>
    <w:r>
      <w:fldChar w:fldCharType="separate"/>
    </w:r>
    <w:r>
      <w:t>UEEHA0022 Determine the explosion-protection requirements to meet a specified classified hazardous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96778" w:rsidP="009C7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265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D0E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134"/>
    <w:pPr>
      <w:spacing w:before="360" w:after="60"/>
      <w:outlineLvl w:val="0"/>
    </w:pPr>
    <w:rPr>
      <w:sz w:val="32"/>
    </w:rPr>
  </w:style>
  <w:style w:type="paragraph" w:styleId="Heading2">
    <w:name w:val="heading 2"/>
    <w:basedOn w:val="HeadingBase"/>
    <w:next w:val="BodyText"/>
    <w:link w:val="Heading2Char"/>
    <w:qFormat/>
    <w:rsid w:val="009C7134"/>
    <w:pPr>
      <w:keepLines/>
      <w:spacing w:before="240" w:after="120"/>
      <w:outlineLvl w:val="1"/>
    </w:pPr>
    <w:rPr>
      <w:sz w:val="28"/>
      <w:szCs w:val="40"/>
    </w:rPr>
  </w:style>
  <w:style w:type="paragraph" w:styleId="Heading3">
    <w:name w:val="heading 3"/>
    <w:basedOn w:val="HeadingBase"/>
    <w:next w:val="BodyText"/>
    <w:link w:val="Heading3Char"/>
    <w:qFormat/>
    <w:rsid w:val="009C7134"/>
    <w:pPr>
      <w:spacing w:before="180" w:after="120"/>
      <w:outlineLvl w:val="2"/>
    </w:pPr>
    <w:rPr>
      <w:spacing w:val="-10"/>
      <w:kern w:val="32"/>
    </w:rPr>
  </w:style>
  <w:style w:type="paragraph" w:styleId="Heading4">
    <w:name w:val="heading 4"/>
    <w:basedOn w:val="HeadingBase"/>
    <w:next w:val="BodyText"/>
    <w:link w:val="Heading4Char"/>
    <w:qFormat/>
    <w:rsid w:val="009C7134"/>
    <w:pPr>
      <w:spacing w:before="160" w:after="120"/>
      <w:outlineLvl w:val="3"/>
    </w:pPr>
    <w:rPr>
      <w:sz w:val="22"/>
    </w:rPr>
  </w:style>
  <w:style w:type="paragraph" w:styleId="Heading5">
    <w:name w:val="heading 5"/>
    <w:basedOn w:val="HeadingBase"/>
    <w:next w:val="Normal"/>
    <w:link w:val="Heading5Char"/>
    <w:qFormat/>
    <w:rsid w:val="009C7134"/>
    <w:pPr>
      <w:spacing w:before="80"/>
      <w:outlineLvl w:val="4"/>
    </w:pPr>
    <w:rPr>
      <w:color w:val="918585"/>
      <w:sz w:val="20"/>
    </w:rPr>
  </w:style>
  <w:style w:type="paragraph" w:styleId="Heading6">
    <w:name w:val="heading 6"/>
    <w:basedOn w:val="HeadingBase"/>
    <w:next w:val="Normal"/>
    <w:link w:val="Heading6Char"/>
    <w:qFormat/>
    <w:rsid w:val="009C7134"/>
    <w:pPr>
      <w:spacing w:before="60"/>
      <w:outlineLvl w:val="5"/>
    </w:pPr>
    <w:rPr>
      <w:color w:val="918585"/>
      <w:sz w:val="20"/>
    </w:rPr>
  </w:style>
  <w:style w:type="paragraph" w:styleId="Heading7">
    <w:name w:val="heading 7"/>
    <w:basedOn w:val="Normal"/>
    <w:next w:val="Normal"/>
    <w:link w:val="Heading7Char"/>
    <w:qFormat/>
    <w:rsid w:val="009C7134"/>
    <w:pPr>
      <w:ind w:left="720"/>
      <w:outlineLvl w:val="6"/>
    </w:pPr>
    <w:rPr>
      <w:i/>
    </w:rPr>
  </w:style>
  <w:style w:type="paragraph" w:styleId="Heading8">
    <w:name w:val="heading 8"/>
    <w:basedOn w:val="Normal"/>
    <w:next w:val="Normal"/>
    <w:link w:val="Heading8Char"/>
    <w:qFormat/>
    <w:rsid w:val="009C7134"/>
    <w:pPr>
      <w:ind w:left="720"/>
      <w:outlineLvl w:val="7"/>
    </w:pPr>
    <w:rPr>
      <w:i/>
    </w:rPr>
  </w:style>
  <w:style w:type="paragraph" w:styleId="Heading9">
    <w:name w:val="heading 9"/>
    <w:basedOn w:val="Normal"/>
    <w:next w:val="Normal"/>
    <w:link w:val="Heading9Char"/>
    <w:qFormat/>
    <w:rsid w:val="009C7134"/>
    <w:pPr>
      <w:ind w:left="720"/>
      <w:outlineLvl w:val="8"/>
    </w:pPr>
    <w:rPr>
      <w:i/>
    </w:rPr>
  </w:style>
  <w:style w:type="character" w:default="1" w:styleId="DefaultParagraphFont">
    <w:name w:val="Default Paragraph Font"/>
    <w:uiPriority w:val="1"/>
    <w:unhideWhenUsed/>
    <w:rsid w:val="009C7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134"/>
  </w:style>
  <w:style w:type="character" w:customStyle="1" w:styleId="Heading1Char">
    <w:name w:val="Heading 1 Char"/>
    <w:basedOn w:val="DefaultParagraphFont"/>
    <w:link w:val="Heading1"/>
    <w:rsid w:val="009C7134"/>
    <w:rPr>
      <w:rFonts w:ascii="Times New Roman" w:eastAsia="Times New Roman" w:hAnsi="Times New Roman" w:cs="Times New Roman"/>
      <w:b/>
      <w:sz w:val="32"/>
      <w:szCs w:val="20"/>
      <w:lang w:eastAsia="en-US"/>
    </w:rPr>
  </w:style>
  <w:style w:type="paragraph" w:styleId="BodyText">
    <w:name w:val="Body Text"/>
    <w:basedOn w:val="Normal"/>
    <w:link w:val="BodyTextChar"/>
    <w:rsid w:val="009C7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134"/>
    <w:rPr>
      <w:rFonts w:ascii="Times New Roman" w:eastAsia="Times New Roman" w:hAnsi="Times New Roman" w:cs="Times New Roman"/>
      <w:sz w:val="24"/>
      <w:lang w:eastAsia="en-US"/>
    </w:rPr>
  </w:style>
  <w:style w:type="paragraph" w:styleId="ListBullet">
    <w:name w:val="List Bullet"/>
    <w:basedOn w:val="List"/>
    <w:rsid w:val="009C7134"/>
    <w:pPr>
      <w:numPr>
        <w:numId w:val="11"/>
      </w:numPr>
      <w:tabs>
        <w:tab w:val="clear" w:pos="340"/>
      </w:tabs>
      <w:spacing w:before="40" w:after="40"/>
    </w:pPr>
  </w:style>
  <w:style w:type="character" w:customStyle="1" w:styleId="SpecialBold">
    <w:name w:val="Special Bold"/>
    <w:basedOn w:val="DefaultParagraphFont"/>
    <w:rsid w:val="009C7134"/>
    <w:rPr>
      <w:b/>
      <w:spacing w:val="0"/>
    </w:rPr>
  </w:style>
  <w:style w:type="paragraph" w:customStyle="1" w:styleId="SuperHeading">
    <w:name w:val="SuperHeading"/>
    <w:basedOn w:val="Normal"/>
    <w:rsid w:val="009C7134"/>
    <w:pPr>
      <w:spacing w:before="240" w:after="120"/>
      <w:outlineLvl w:val="0"/>
    </w:pPr>
    <w:rPr>
      <w:rFonts w:ascii="Times New Roman" w:hAnsi="Times New Roman"/>
      <w:b/>
      <w:sz w:val="32"/>
    </w:rPr>
  </w:style>
  <w:style w:type="paragraph" w:customStyle="1" w:styleId="AllowPageBreak">
    <w:name w:val="AllowPageBreak"/>
    <w:rsid w:val="009C71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7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134"/>
    <w:rPr>
      <w:rFonts w:ascii="Courier New" w:eastAsia="Times New Roman" w:hAnsi="Courier New" w:cs="Times New Roman"/>
      <w:i/>
      <w:szCs w:val="20"/>
      <w:lang w:eastAsia="en-US"/>
    </w:rPr>
  </w:style>
  <w:style w:type="paragraph" w:customStyle="1" w:styleId="HeadingBase">
    <w:name w:val="Heading Base"/>
    <w:rsid w:val="009C7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134"/>
    <w:pPr>
      <w:tabs>
        <w:tab w:val="right" w:leader="dot" w:pos="9072"/>
      </w:tabs>
      <w:ind w:left="567"/>
    </w:pPr>
    <w:rPr>
      <w:szCs w:val="22"/>
    </w:rPr>
  </w:style>
  <w:style w:type="paragraph" w:customStyle="1" w:styleId="TOCBase">
    <w:name w:val="TOC Base"/>
    <w:rsid w:val="009C7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134"/>
    <w:pPr>
      <w:tabs>
        <w:tab w:val="right" w:leader="dot" w:pos="9072"/>
      </w:tabs>
      <w:spacing w:before="40" w:after="40"/>
      <w:ind w:left="284"/>
    </w:pPr>
    <w:rPr>
      <w:rFonts w:ascii="Times New Roman" w:hAnsi="Times New Roman"/>
    </w:rPr>
  </w:style>
  <w:style w:type="paragraph" w:styleId="TOC1">
    <w:name w:val="toc 1"/>
    <w:basedOn w:val="TOCBase"/>
    <w:next w:val="Normal"/>
    <w:rsid w:val="009C7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134"/>
    <w:rPr>
      <w:rFonts w:ascii="Times New Roman" w:eastAsia="Times New Roman" w:hAnsi="Times New Roman" w:cs="Times New Roman"/>
      <w:sz w:val="16"/>
      <w:lang w:eastAsia="en-US"/>
    </w:rPr>
  </w:style>
  <w:style w:type="paragraph" w:styleId="Title">
    <w:name w:val="Title"/>
    <w:basedOn w:val="HeadingBase"/>
    <w:link w:val="TitleChar"/>
    <w:qFormat/>
    <w:rsid w:val="009C7134"/>
    <w:pPr>
      <w:spacing w:before="5040"/>
      <w:jc w:val="center"/>
    </w:pPr>
    <w:rPr>
      <w:sz w:val="48"/>
      <w:szCs w:val="72"/>
      <w:lang w:val="en-US"/>
    </w:rPr>
  </w:style>
  <w:style w:type="character" w:customStyle="1" w:styleId="TitleChar">
    <w:name w:val="Title Char"/>
    <w:basedOn w:val="DefaultParagraphFont"/>
    <w:link w:val="Title"/>
    <w:rsid w:val="009C7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134"/>
    <w:pPr>
      <w:tabs>
        <w:tab w:val="left" w:pos="3600"/>
        <w:tab w:val="left" w:pos="3958"/>
      </w:tabs>
    </w:pPr>
  </w:style>
  <w:style w:type="paragraph" w:styleId="List">
    <w:name w:val="List"/>
    <w:basedOn w:val="BodyText"/>
    <w:next w:val="BodyText"/>
    <w:rsid w:val="009C7134"/>
    <w:pPr>
      <w:tabs>
        <w:tab w:val="left" w:pos="340"/>
      </w:tabs>
      <w:spacing w:before="60" w:after="60"/>
      <w:ind w:left="340" w:hanging="340"/>
    </w:pPr>
  </w:style>
  <w:style w:type="paragraph" w:customStyle="1" w:styleId="Note">
    <w:name w:val="Note"/>
    <w:basedOn w:val="BodyText"/>
    <w:rsid w:val="009C7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134"/>
    <w:pPr>
      <w:framePr w:wrap="auto" w:hAnchor="text" w:y="6049"/>
    </w:pPr>
    <w:rPr>
      <w:color w:val="000000"/>
      <w:sz w:val="40"/>
    </w:rPr>
  </w:style>
  <w:style w:type="paragraph" w:customStyle="1" w:styleId="TOCTitle">
    <w:name w:val="TOCTitle"/>
    <w:basedOn w:val="Heading1"/>
    <w:rsid w:val="009C7134"/>
    <w:pPr>
      <w:spacing w:after="240"/>
      <w:jc w:val="center"/>
      <w:outlineLvl w:val="9"/>
    </w:pPr>
    <w:rPr>
      <w:caps/>
    </w:rPr>
  </w:style>
  <w:style w:type="paragraph" w:customStyle="1" w:styleId="Version">
    <w:name w:val="Version"/>
    <w:rsid w:val="009C71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7134"/>
    <w:pPr>
      <w:numPr>
        <w:numId w:val="12"/>
      </w:numPr>
      <w:tabs>
        <w:tab w:val="clear" w:pos="680"/>
      </w:tabs>
    </w:pPr>
  </w:style>
  <w:style w:type="paragraph" w:styleId="Index1">
    <w:name w:val="index 1"/>
    <w:basedOn w:val="Normal"/>
    <w:next w:val="Normal"/>
    <w:semiHidden/>
    <w:rsid w:val="009C7134"/>
    <w:pPr>
      <w:keepNext w:val="0"/>
      <w:tabs>
        <w:tab w:val="right" w:pos="4176"/>
      </w:tabs>
      <w:ind w:left="198" w:hanging="198"/>
    </w:pPr>
    <w:rPr>
      <w:rFonts w:ascii="Garamond" w:hAnsi="Garamond"/>
    </w:rPr>
  </w:style>
  <w:style w:type="paragraph" w:styleId="IndexHeading">
    <w:name w:val="index heading"/>
    <w:basedOn w:val="Normal"/>
    <w:next w:val="Index1"/>
    <w:semiHidden/>
    <w:rsid w:val="009C7134"/>
    <w:pPr>
      <w:spacing w:before="120" w:after="120"/>
    </w:pPr>
    <w:rPr>
      <w:rFonts w:ascii="Arial" w:hAnsi="Arial"/>
      <w:b/>
      <w:color w:val="918585"/>
      <w:sz w:val="24"/>
    </w:rPr>
  </w:style>
  <w:style w:type="paragraph" w:styleId="Header">
    <w:name w:val="header"/>
    <w:basedOn w:val="Normal"/>
    <w:link w:val="HeaderChar"/>
    <w:rsid w:val="009C7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134"/>
    <w:rPr>
      <w:rFonts w:ascii="Times New Roman" w:eastAsia="Times New Roman" w:hAnsi="Times New Roman" w:cs="Times New Roman"/>
      <w:sz w:val="16"/>
      <w:szCs w:val="20"/>
      <w:lang w:val="en-GB" w:eastAsia="en-US"/>
    </w:rPr>
  </w:style>
  <w:style w:type="paragraph" w:customStyle="1" w:styleId="Chapter">
    <w:name w:val="Chapter"/>
    <w:basedOn w:val="Normal"/>
    <w:rsid w:val="009C7134"/>
    <w:pPr>
      <w:spacing w:before="240"/>
    </w:pPr>
    <w:rPr>
      <w:rFonts w:ascii="Times New Roman" w:hAnsi="Times New Roman"/>
      <w:smallCaps/>
      <w:spacing w:val="80"/>
      <w:sz w:val="28"/>
    </w:rPr>
  </w:style>
  <w:style w:type="paragraph" w:customStyle="1" w:styleId="InChapter">
    <w:name w:val="InChapter"/>
    <w:basedOn w:val="Heading3"/>
    <w:rsid w:val="009C7134"/>
    <w:pPr>
      <w:spacing w:after="240"/>
      <w:outlineLvl w:val="9"/>
    </w:pPr>
    <w:rPr>
      <w:noProof/>
    </w:rPr>
  </w:style>
  <w:style w:type="paragraph" w:styleId="Index2">
    <w:name w:val="index 2"/>
    <w:basedOn w:val="Normal"/>
    <w:next w:val="Normal"/>
    <w:semiHidden/>
    <w:rsid w:val="009C7134"/>
    <w:pPr>
      <w:tabs>
        <w:tab w:val="right" w:pos="4176"/>
      </w:tabs>
      <w:ind w:left="568" w:hanging="284"/>
    </w:pPr>
    <w:rPr>
      <w:rFonts w:ascii="Garamond" w:hAnsi="Garamond"/>
    </w:rPr>
  </w:style>
  <w:style w:type="paragraph" w:customStyle="1" w:styleId="Byline">
    <w:name w:val="Byline"/>
    <w:rsid w:val="009C7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134"/>
    <w:pPr>
      <w:tabs>
        <w:tab w:val="clear" w:pos="3600"/>
        <w:tab w:val="clear" w:pos="3958"/>
      </w:tabs>
      <w:jc w:val="right"/>
    </w:pPr>
  </w:style>
  <w:style w:type="character" w:styleId="Emphasis">
    <w:name w:val="Emphasis"/>
    <w:basedOn w:val="DefaultParagraphFont"/>
    <w:qFormat/>
    <w:rsid w:val="009C7134"/>
    <w:rPr>
      <w:i/>
    </w:rPr>
  </w:style>
  <w:style w:type="paragraph" w:styleId="Caption">
    <w:name w:val="caption"/>
    <w:basedOn w:val="BodyText"/>
    <w:next w:val="Normal"/>
    <w:qFormat/>
    <w:rsid w:val="009C7134"/>
    <w:pPr>
      <w:framePr w:w="2268" w:hSpace="181" w:vSpace="181" w:wrap="around" w:vAnchor="text" w:hAnchor="page" w:x="1135" w:y="285" w:anchorLock="1"/>
    </w:pPr>
    <w:rPr>
      <w:i/>
    </w:rPr>
  </w:style>
  <w:style w:type="paragraph" w:customStyle="1" w:styleId="MiniTOCTitle">
    <w:name w:val="MiniTOCTitle"/>
    <w:basedOn w:val="Heading4"/>
    <w:rsid w:val="009C7134"/>
    <w:pPr>
      <w:spacing w:before="240"/>
      <w:outlineLvl w:val="9"/>
    </w:pPr>
    <w:rPr>
      <w:noProof/>
      <w:sz w:val="24"/>
    </w:rPr>
  </w:style>
  <w:style w:type="paragraph" w:customStyle="1" w:styleId="MiniTOCItem">
    <w:name w:val="MiniTOCItem"/>
    <w:basedOn w:val="ListBullet"/>
    <w:rsid w:val="009C7134"/>
    <w:pPr>
      <w:numPr>
        <w:numId w:val="0"/>
      </w:numPr>
      <w:tabs>
        <w:tab w:val="right" w:leader="dot" w:pos="6521"/>
      </w:tabs>
      <w:spacing w:before="0" w:after="0"/>
    </w:pPr>
  </w:style>
  <w:style w:type="paragraph" w:customStyle="1" w:styleId="TOFTitle">
    <w:name w:val="TOFTitle"/>
    <w:basedOn w:val="TOCTitle"/>
    <w:rsid w:val="009C7134"/>
  </w:style>
  <w:style w:type="paragraph" w:styleId="TableofFigures">
    <w:name w:val="table of figures"/>
    <w:basedOn w:val="Normal"/>
    <w:next w:val="Normal"/>
    <w:semiHidden/>
    <w:rsid w:val="009C7134"/>
    <w:pPr>
      <w:tabs>
        <w:tab w:val="right" w:leader="dot" w:pos="9072"/>
      </w:tabs>
      <w:ind w:left="970" w:hanging="403"/>
    </w:pPr>
    <w:rPr>
      <w:rFonts w:ascii="Times New Roman" w:hAnsi="Times New Roman"/>
      <w:b/>
    </w:rPr>
  </w:style>
  <w:style w:type="paragraph" w:styleId="ListNumber">
    <w:name w:val="List Number"/>
    <w:basedOn w:val="List"/>
    <w:rsid w:val="009C7134"/>
    <w:pPr>
      <w:numPr>
        <w:numId w:val="14"/>
      </w:numPr>
      <w:tabs>
        <w:tab w:val="clear" w:pos="340"/>
      </w:tabs>
    </w:pPr>
  </w:style>
  <w:style w:type="character" w:customStyle="1" w:styleId="WingdingSymbols">
    <w:name w:val="Wingding Symbols"/>
    <w:rsid w:val="009C7134"/>
    <w:rPr>
      <w:rFonts w:ascii="Wingdings" w:hAnsi="Wingdings"/>
    </w:rPr>
  </w:style>
  <w:style w:type="paragraph" w:customStyle="1" w:styleId="TableHeading">
    <w:name w:val="Table Heading"/>
    <w:basedOn w:val="HeadingBase"/>
    <w:rsid w:val="009C7134"/>
    <w:pPr>
      <w:keepLines/>
      <w:pBdr>
        <w:bottom w:val="single" w:sz="6" w:space="1" w:color="918585"/>
      </w:pBdr>
      <w:spacing w:before="240"/>
    </w:pPr>
  </w:style>
  <w:style w:type="character" w:customStyle="1" w:styleId="HotSpot">
    <w:name w:val="HotSpot"/>
    <w:rsid w:val="009C7134"/>
    <w:rPr>
      <w:color w:val="0033CC"/>
      <w:u w:val="none"/>
    </w:rPr>
  </w:style>
  <w:style w:type="paragraph" w:customStyle="1" w:styleId="BodyTextRight">
    <w:name w:val="Body Text Right"/>
    <w:basedOn w:val="BodyText"/>
    <w:rsid w:val="009C7134"/>
    <w:pPr>
      <w:spacing w:before="0" w:after="0"/>
      <w:jc w:val="right"/>
    </w:pPr>
  </w:style>
  <w:style w:type="paragraph" w:styleId="Index3">
    <w:name w:val="index 3"/>
    <w:basedOn w:val="ListNumber2"/>
    <w:next w:val="Normal"/>
    <w:semiHidden/>
    <w:rsid w:val="009C7134"/>
    <w:pPr>
      <w:numPr>
        <w:numId w:val="0"/>
      </w:numPr>
      <w:tabs>
        <w:tab w:val="right" w:leader="dot" w:pos="4176"/>
      </w:tabs>
    </w:pPr>
  </w:style>
  <w:style w:type="paragraph" w:styleId="ListNumber2">
    <w:name w:val="List Number 2"/>
    <w:basedOn w:val="List2"/>
    <w:rsid w:val="009C7134"/>
    <w:pPr>
      <w:numPr>
        <w:numId w:val="9"/>
      </w:numPr>
      <w:tabs>
        <w:tab w:val="clear" w:pos="1060"/>
      </w:tabs>
    </w:pPr>
  </w:style>
  <w:style w:type="paragraph" w:customStyle="1" w:styleId="MarginNote">
    <w:name w:val="Margin Note"/>
    <w:basedOn w:val="BodyText"/>
    <w:rsid w:val="009C7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134"/>
    <w:rPr>
      <w:sz w:val="32"/>
    </w:rPr>
  </w:style>
  <w:style w:type="paragraph" w:customStyle="1" w:styleId="HeadingProcedure">
    <w:name w:val="Heading Procedure"/>
    <w:basedOn w:val="HeadingBase"/>
    <w:next w:val="Normal"/>
    <w:rsid w:val="009C7134"/>
    <w:pPr>
      <w:tabs>
        <w:tab w:val="left" w:pos="0"/>
      </w:tabs>
      <w:spacing w:before="120" w:after="60"/>
    </w:pPr>
    <w:rPr>
      <w:i/>
      <w:color w:val="918585"/>
      <w:sz w:val="22"/>
    </w:rPr>
  </w:style>
  <w:style w:type="paragraph" w:customStyle="1" w:styleId="TableBodyText">
    <w:name w:val="Table Body Text"/>
    <w:basedOn w:val="BodyText"/>
    <w:rsid w:val="009C7134"/>
    <w:pPr>
      <w:spacing w:before="60" w:after="60"/>
    </w:pPr>
  </w:style>
  <w:style w:type="paragraph" w:styleId="ListContinue">
    <w:name w:val="List Continue"/>
    <w:basedOn w:val="List"/>
    <w:rsid w:val="009C7134"/>
    <w:pPr>
      <w:ind w:firstLine="0"/>
    </w:pPr>
  </w:style>
  <w:style w:type="paragraph" w:customStyle="1" w:styleId="ListNote">
    <w:name w:val="List Note"/>
    <w:basedOn w:val="List"/>
    <w:rsid w:val="009C7134"/>
    <w:pPr>
      <w:pBdr>
        <w:top w:val="single" w:sz="6" w:space="2" w:color="918585"/>
        <w:bottom w:val="single" w:sz="6" w:space="2" w:color="918585"/>
      </w:pBdr>
      <w:tabs>
        <w:tab w:val="left" w:pos="1021"/>
      </w:tabs>
      <w:ind w:firstLine="0"/>
    </w:pPr>
  </w:style>
  <w:style w:type="paragraph" w:customStyle="1" w:styleId="Warning">
    <w:name w:val="Warning"/>
    <w:basedOn w:val="BodyText"/>
    <w:rsid w:val="009C7134"/>
    <w:pPr>
      <w:shd w:val="clear" w:color="auto" w:fill="D9D9D9"/>
      <w:tabs>
        <w:tab w:val="left" w:pos="992"/>
      </w:tabs>
      <w:ind w:left="119" w:right="119"/>
    </w:pPr>
    <w:rPr>
      <w:sz w:val="20"/>
    </w:rPr>
  </w:style>
  <w:style w:type="paragraph" w:customStyle="1" w:styleId="MarginIcons">
    <w:name w:val="Margin Icons"/>
    <w:basedOn w:val="BodyText"/>
    <w:rsid w:val="009C7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134"/>
    <w:rPr>
      <w:rFonts w:ascii="Courier New" w:hAnsi="Courier New"/>
    </w:rPr>
  </w:style>
  <w:style w:type="paragraph" w:customStyle="1" w:styleId="NoteBullet">
    <w:name w:val="Note Bullet"/>
    <w:basedOn w:val="Note"/>
    <w:rsid w:val="009C7134"/>
    <w:pPr>
      <w:tabs>
        <w:tab w:val="clear" w:pos="680"/>
      </w:tabs>
      <w:spacing w:before="60" w:after="60"/>
    </w:pPr>
  </w:style>
  <w:style w:type="paragraph" w:customStyle="1" w:styleId="SubHeading2">
    <w:name w:val="SubHeading2"/>
    <w:basedOn w:val="HeadingBase"/>
    <w:rsid w:val="009C7134"/>
    <w:pPr>
      <w:spacing w:before="240" w:after="60"/>
    </w:pPr>
    <w:rPr>
      <w:sz w:val="20"/>
    </w:rPr>
  </w:style>
  <w:style w:type="paragraph" w:customStyle="1" w:styleId="SubHeading1">
    <w:name w:val="SubHeading1"/>
    <w:basedOn w:val="HeadingBase"/>
    <w:rsid w:val="009C7134"/>
    <w:pPr>
      <w:spacing w:before="240" w:after="60"/>
    </w:pPr>
    <w:rPr>
      <w:color w:val="918585"/>
      <w:sz w:val="22"/>
    </w:rPr>
  </w:style>
  <w:style w:type="paragraph" w:customStyle="1" w:styleId="SideHeading">
    <w:name w:val="Side Heading"/>
    <w:basedOn w:val="HeadingBase"/>
    <w:rsid w:val="009C7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134"/>
    <w:pPr>
      <w:numPr>
        <w:numId w:val="10"/>
      </w:numPr>
    </w:pPr>
  </w:style>
  <w:style w:type="paragraph" w:styleId="PlainText">
    <w:name w:val="Plain Text"/>
    <w:basedOn w:val="Normal"/>
    <w:link w:val="PlainTextChar"/>
    <w:rsid w:val="009C7134"/>
    <w:rPr>
      <w:sz w:val="20"/>
    </w:rPr>
  </w:style>
  <w:style w:type="character" w:customStyle="1" w:styleId="PlainTextChar">
    <w:name w:val="Plain Text Char"/>
    <w:basedOn w:val="DefaultParagraphFont"/>
    <w:link w:val="PlainText"/>
    <w:rsid w:val="009C7134"/>
    <w:rPr>
      <w:rFonts w:ascii="Courier New" w:eastAsia="Times New Roman" w:hAnsi="Courier New" w:cs="Times New Roman"/>
      <w:sz w:val="20"/>
      <w:szCs w:val="20"/>
      <w:lang w:eastAsia="en-US"/>
    </w:rPr>
  </w:style>
  <w:style w:type="character" w:customStyle="1" w:styleId="MenuOption">
    <w:name w:val="Menu Option"/>
    <w:basedOn w:val="DefaultParagraphFont"/>
    <w:rsid w:val="009C7134"/>
    <w:rPr>
      <w:b/>
      <w:smallCaps/>
    </w:rPr>
  </w:style>
  <w:style w:type="paragraph" w:customStyle="1" w:styleId="TableListNumber">
    <w:name w:val="Table List Number"/>
    <w:basedOn w:val="ListNumber"/>
    <w:rsid w:val="009C7134"/>
    <w:pPr>
      <w:numPr>
        <w:numId w:val="0"/>
      </w:numPr>
    </w:pPr>
  </w:style>
  <w:style w:type="paragraph" w:styleId="TOC4">
    <w:name w:val="toc 4"/>
    <w:basedOn w:val="TOCBase"/>
    <w:next w:val="Normal"/>
    <w:semiHidden/>
    <w:rsid w:val="009C7134"/>
    <w:pPr>
      <w:tabs>
        <w:tab w:val="right" w:leader="dot" w:pos="9071"/>
      </w:tabs>
      <w:ind w:left="1701"/>
    </w:pPr>
  </w:style>
  <w:style w:type="paragraph" w:customStyle="1" w:styleId="ListAlpha">
    <w:name w:val="List Alpha"/>
    <w:basedOn w:val="List"/>
    <w:rsid w:val="009C7134"/>
    <w:pPr>
      <w:numPr>
        <w:numId w:val="8"/>
      </w:numPr>
    </w:pPr>
  </w:style>
  <w:style w:type="paragraph" w:customStyle="1" w:styleId="ListAlpha2">
    <w:name w:val="List Alpha 2"/>
    <w:basedOn w:val="List2"/>
    <w:rsid w:val="009C7134"/>
    <w:pPr>
      <w:numPr>
        <w:numId w:val="7"/>
      </w:numPr>
    </w:pPr>
  </w:style>
  <w:style w:type="paragraph" w:styleId="List2">
    <w:name w:val="List 2"/>
    <w:basedOn w:val="BodyText"/>
    <w:rsid w:val="009C7134"/>
    <w:pPr>
      <w:tabs>
        <w:tab w:val="left" w:pos="680"/>
      </w:tabs>
      <w:spacing w:before="60" w:after="60"/>
      <w:ind w:left="680" w:hanging="340"/>
    </w:pPr>
  </w:style>
  <w:style w:type="paragraph" w:styleId="List3">
    <w:name w:val="List 3"/>
    <w:basedOn w:val="BodyText"/>
    <w:rsid w:val="009C7134"/>
    <w:pPr>
      <w:tabs>
        <w:tab w:val="left" w:pos="1021"/>
      </w:tabs>
      <w:spacing w:before="60" w:after="60"/>
      <w:ind w:left="1020" w:hanging="340"/>
    </w:pPr>
  </w:style>
  <w:style w:type="paragraph" w:styleId="List4">
    <w:name w:val="List 4"/>
    <w:basedOn w:val="BodyText"/>
    <w:rsid w:val="009C7134"/>
    <w:pPr>
      <w:tabs>
        <w:tab w:val="left" w:pos="1361"/>
      </w:tabs>
      <w:spacing w:before="60" w:after="60"/>
      <w:ind w:left="1361" w:hanging="340"/>
    </w:pPr>
  </w:style>
  <w:style w:type="paragraph" w:styleId="List5">
    <w:name w:val="List 5"/>
    <w:basedOn w:val="BodyText"/>
    <w:rsid w:val="009C7134"/>
    <w:pPr>
      <w:tabs>
        <w:tab w:val="left" w:pos="1701"/>
      </w:tabs>
      <w:spacing w:before="60" w:after="60"/>
      <w:ind w:left="1701" w:hanging="340"/>
    </w:pPr>
  </w:style>
  <w:style w:type="paragraph" w:styleId="ListBullet3">
    <w:name w:val="List Bullet 3"/>
    <w:basedOn w:val="List3"/>
    <w:rsid w:val="009C7134"/>
    <w:pPr>
      <w:numPr>
        <w:numId w:val="13"/>
      </w:numPr>
      <w:tabs>
        <w:tab w:val="clear" w:pos="1021"/>
      </w:tabs>
      <w:ind w:left="1037" w:hanging="357"/>
    </w:pPr>
  </w:style>
  <w:style w:type="paragraph" w:styleId="ListBullet4">
    <w:name w:val="List Bullet 4"/>
    <w:basedOn w:val="List4"/>
    <w:rsid w:val="009C7134"/>
    <w:pPr>
      <w:numPr>
        <w:numId w:val="2"/>
      </w:numPr>
      <w:tabs>
        <w:tab w:val="clear" w:pos="1361"/>
      </w:tabs>
    </w:pPr>
  </w:style>
  <w:style w:type="paragraph" w:styleId="ListBullet5">
    <w:name w:val="List Bullet 5"/>
    <w:basedOn w:val="List5"/>
    <w:rsid w:val="009C7134"/>
    <w:pPr>
      <w:numPr>
        <w:numId w:val="3"/>
      </w:numPr>
    </w:pPr>
  </w:style>
  <w:style w:type="paragraph" w:styleId="ListContinue2">
    <w:name w:val="List Continue 2"/>
    <w:basedOn w:val="List2"/>
    <w:rsid w:val="009C7134"/>
    <w:pPr>
      <w:ind w:firstLine="0"/>
    </w:pPr>
  </w:style>
  <w:style w:type="paragraph" w:styleId="ListContinue3">
    <w:name w:val="List Continue 3"/>
    <w:basedOn w:val="List3"/>
    <w:rsid w:val="009C7134"/>
    <w:pPr>
      <w:ind w:left="1021" w:firstLine="0"/>
    </w:pPr>
  </w:style>
  <w:style w:type="paragraph" w:styleId="ListContinue4">
    <w:name w:val="List Continue 4"/>
    <w:basedOn w:val="List4"/>
    <w:rsid w:val="009C7134"/>
    <w:pPr>
      <w:ind w:firstLine="0"/>
    </w:pPr>
  </w:style>
  <w:style w:type="paragraph" w:styleId="ListContinue5">
    <w:name w:val="List Continue 5"/>
    <w:basedOn w:val="List5"/>
    <w:rsid w:val="009C7134"/>
    <w:pPr>
      <w:ind w:firstLine="0"/>
    </w:pPr>
  </w:style>
  <w:style w:type="paragraph" w:styleId="ListNumber3">
    <w:name w:val="List Number 3"/>
    <w:basedOn w:val="List3"/>
    <w:rsid w:val="009C7134"/>
    <w:pPr>
      <w:numPr>
        <w:numId w:val="4"/>
      </w:numPr>
    </w:pPr>
  </w:style>
  <w:style w:type="paragraph" w:styleId="ListNumber4">
    <w:name w:val="List Number 4"/>
    <w:basedOn w:val="List4"/>
    <w:rsid w:val="009C7134"/>
    <w:pPr>
      <w:numPr>
        <w:numId w:val="5"/>
      </w:numPr>
    </w:pPr>
  </w:style>
  <w:style w:type="paragraph" w:styleId="ListNumber5">
    <w:name w:val="List Number 5"/>
    <w:basedOn w:val="List5"/>
    <w:rsid w:val="009C7134"/>
    <w:pPr>
      <w:numPr>
        <w:numId w:val="6"/>
      </w:numPr>
    </w:pPr>
  </w:style>
  <w:style w:type="paragraph" w:styleId="BlockText">
    <w:name w:val="Block Text"/>
    <w:basedOn w:val="Normal"/>
    <w:rsid w:val="009C7134"/>
    <w:pPr>
      <w:spacing w:after="120"/>
      <w:ind w:left="1440" w:right="1440"/>
    </w:pPr>
  </w:style>
  <w:style w:type="character" w:customStyle="1" w:styleId="Subscript">
    <w:name w:val="Subscript"/>
    <w:basedOn w:val="DefaultParagraphFont"/>
    <w:rsid w:val="009C7134"/>
    <w:rPr>
      <w:sz w:val="16"/>
      <w:vertAlign w:val="subscript"/>
    </w:rPr>
  </w:style>
  <w:style w:type="character" w:customStyle="1" w:styleId="Superscript">
    <w:name w:val="Superscript"/>
    <w:basedOn w:val="DefaultParagraphFont"/>
    <w:rsid w:val="009C7134"/>
    <w:rPr>
      <w:sz w:val="16"/>
      <w:vertAlign w:val="superscript"/>
    </w:rPr>
  </w:style>
  <w:style w:type="character" w:customStyle="1" w:styleId="Symbols">
    <w:name w:val="Symbols"/>
    <w:basedOn w:val="DefaultParagraphFont"/>
    <w:rsid w:val="009C7134"/>
    <w:rPr>
      <w:rFonts w:ascii="Symbol" w:hAnsi="Symbol"/>
    </w:rPr>
  </w:style>
  <w:style w:type="character" w:customStyle="1" w:styleId="MenuOptions">
    <w:name w:val="Menu Options"/>
    <w:basedOn w:val="DefaultParagraphFont"/>
    <w:rsid w:val="009C7134"/>
    <w:rPr>
      <w:rFonts w:ascii="Arial Narrow" w:hAnsi="Arial Narrow"/>
      <w:smallCaps/>
    </w:rPr>
  </w:style>
  <w:style w:type="character" w:customStyle="1" w:styleId="Buttons">
    <w:name w:val="Buttons"/>
    <w:basedOn w:val="DefaultParagraphFont"/>
    <w:rsid w:val="009C7134"/>
    <w:rPr>
      <w:b/>
    </w:rPr>
  </w:style>
  <w:style w:type="character" w:customStyle="1" w:styleId="Underlined">
    <w:name w:val="Underlined"/>
    <w:basedOn w:val="DefaultParagraphFont"/>
    <w:rsid w:val="009C7134"/>
    <w:rPr>
      <w:u w:val="single"/>
    </w:rPr>
  </w:style>
  <w:style w:type="paragraph" w:customStyle="1" w:styleId="TableBodyTextRight">
    <w:name w:val="Table Body Text Right"/>
    <w:basedOn w:val="TableBodyText"/>
    <w:rsid w:val="009C7134"/>
    <w:pPr>
      <w:widowControl w:val="0"/>
      <w:autoSpaceDE w:val="0"/>
      <w:autoSpaceDN w:val="0"/>
      <w:adjustRightInd w:val="0"/>
      <w:jc w:val="right"/>
    </w:pPr>
    <w:rPr>
      <w:rFonts w:cs="Arial"/>
      <w:szCs w:val="18"/>
    </w:rPr>
  </w:style>
  <w:style w:type="paragraph" w:customStyle="1" w:styleId="CopyrightText">
    <w:name w:val="Copyright Text"/>
    <w:basedOn w:val="BodyText"/>
    <w:rsid w:val="009C7134"/>
    <w:rPr>
      <w:sz w:val="18"/>
    </w:rPr>
  </w:style>
  <w:style w:type="paragraph" w:customStyle="1" w:styleId="BodySmallRight">
    <w:name w:val="Body Small Right"/>
    <w:basedOn w:val="BodyTextRight"/>
    <w:rsid w:val="009C7134"/>
    <w:rPr>
      <w:sz w:val="18"/>
      <w:szCs w:val="18"/>
    </w:rPr>
  </w:style>
  <w:style w:type="paragraph" w:customStyle="1" w:styleId="MarginEdition">
    <w:name w:val="Margin Edition"/>
    <w:basedOn w:val="MarginNote"/>
    <w:rsid w:val="009C7134"/>
    <w:pPr>
      <w:spacing w:before="0" w:after="0"/>
    </w:pPr>
    <w:rPr>
      <w:rFonts w:ascii="Times New Roman" w:hAnsi="Times New Roman"/>
      <w:color w:val="999999"/>
    </w:rPr>
  </w:style>
  <w:style w:type="paragraph" w:customStyle="1" w:styleId="Spacer">
    <w:name w:val="Spacer"/>
    <w:basedOn w:val="Normal"/>
    <w:rsid w:val="009C7134"/>
    <w:rPr>
      <w:sz w:val="2"/>
      <w:szCs w:val="2"/>
    </w:rPr>
  </w:style>
  <w:style w:type="character" w:customStyle="1" w:styleId="Small">
    <w:name w:val="Small"/>
    <w:basedOn w:val="DefaultParagraphFont"/>
    <w:rsid w:val="009C7134"/>
    <w:rPr>
      <w:sz w:val="16"/>
    </w:rPr>
  </w:style>
  <w:style w:type="paragraph" w:customStyle="1" w:styleId="WideTable">
    <w:name w:val="Wide Table"/>
    <w:basedOn w:val="Normal"/>
    <w:rsid w:val="009C7134"/>
    <w:pPr>
      <w:ind w:left="-1418"/>
    </w:pPr>
    <w:rPr>
      <w:sz w:val="2"/>
      <w:szCs w:val="2"/>
    </w:rPr>
  </w:style>
  <w:style w:type="character" w:styleId="PageNumber">
    <w:name w:val="page number"/>
    <w:basedOn w:val="DefaultParagraphFont"/>
    <w:rsid w:val="009C7134"/>
  </w:style>
  <w:style w:type="paragraph" w:styleId="Quote">
    <w:name w:val="Quote"/>
    <w:basedOn w:val="Heading1"/>
    <w:link w:val="QuoteChar"/>
    <w:qFormat/>
    <w:rsid w:val="009C7134"/>
    <w:rPr>
      <w:b w:val="0"/>
      <w:sz w:val="72"/>
      <w:szCs w:val="72"/>
      <w:lang w:val="en-NZ"/>
    </w:rPr>
  </w:style>
  <w:style w:type="character" w:customStyle="1" w:styleId="QuoteChar">
    <w:name w:val="Quote Char"/>
    <w:basedOn w:val="DefaultParagraphFont"/>
    <w:link w:val="Quote"/>
    <w:rsid w:val="009C7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134"/>
    <w:pPr>
      <w:pageBreakBefore/>
    </w:pPr>
  </w:style>
  <w:style w:type="paragraph" w:customStyle="1" w:styleId="Border">
    <w:name w:val="Border"/>
    <w:basedOn w:val="Normal"/>
    <w:qFormat/>
    <w:rsid w:val="009C7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134"/>
    <w:rPr>
      <w:b/>
      <w:bCs/>
      <w:i/>
      <w:iCs/>
      <w:color w:val="auto"/>
    </w:rPr>
  </w:style>
  <w:style w:type="paragraph" w:styleId="IntenseQuote">
    <w:name w:val="Intense Quote"/>
    <w:basedOn w:val="Normal"/>
    <w:next w:val="Normal"/>
    <w:link w:val="IntenseQuoteChar"/>
    <w:uiPriority w:val="30"/>
    <w:qFormat/>
    <w:rsid w:val="009C7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134"/>
    <w:rPr>
      <w:smallCaps/>
      <w:color w:val="auto"/>
      <w:u w:val="single"/>
    </w:rPr>
  </w:style>
  <w:style w:type="character" w:styleId="IntenseReference">
    <w:name w:val="Intense Reference"/>
    <w:basedOn w:val="DefaultParagraphFont"/>
    <w:uiPriority w:val="32"/>
    <w:qFormat/>
    <w:rsid w:val="009C7134"/>
    <w:rPr>
      <w:b/>
      <w:bCs/>
      <w:smallCaps/>
      <w:color w:val="auto"/>
      <w:spacing w:val="5"/>
      <w:u w:val="single"/>
    </w:rPr>
  </w:style>
  <w:style w:type="paragraph" w:customStyle="1" w:styleId="2ColumnHeading">
    <w:name w:val="2Column Heading"/>
    <w:basedOn w:val="BodyText"/>
    <w:qFormat/>
    <w:rsid w:val="009C7134"/>
    <w:pPr>
      <w:spacing w:after="60"/>
      <w:ind w:left="-2268"/>
    </w:pPr>
    <w:rPr>
      <w:b/>
    </w:rPr>
  </w:style>
  <w:style w:type="paragraph" w:customStyle="1" w:styleId="Heading1TOC">
    <w:name w:val="Heading1 TOC"/>
    <w:basedOn w:val="Normal"/>
    <w:qFormat/>
    <w:rsid w:val="009C7134"/>
    <w:pPr>
      <w:spacing w:before="240" w:after="120"/>
    </w:pPr>
    <w:rPr>
      <w:rFonts w:ascii="Times New Roman" w:hAnsi="Times New Roman"/>
      <w:b/>
      <w:sz w:val="32"/>
    </w:rPr>
  </w:style>
  <w:style w:type="paragraph" w:customStyle="1" w:styleId="Heading2TOC">
    <w:name w:val="Heading2 TOC"/>
    <w:basedOn w:val="Normal"/>
    <w:qFormat/>
    <w:rsid w:val="009C7134"/>
    <w:pPr>
      <w:spacing w:before="240" w:after="60"/>
    </w:pPr>
    <w:rPr>
      <w:rFonts w:ascii="Times New Roman" w:hAnsi="Times New Roman"/>
      <w:b/>
      <w:sz w:val="28"/>
    </w:rPr>
  </w:style>
  <w:style w:type="character" w:customStyle="1" w:styleId="Underline">
    <w:name w:val="Underline"/>
    <w:basedOn w:val="DefaultParagraphFont"/>
    <w:qFormat/>
    <w:rsid w:val="009C7134"/>
    <w:rPr>
      <w:u w:val="single"/>
    </w:rPr>
  </w:style>
  <w:style w:type="character" w:customStyle="1" w:styleId="BoldandItalics">
    <w:name w:val="Bold and Italics"/>
    <w:qFormat/>
    <w:rsid w:val="009C7134"/>
    <w:rPr>
      <w:b/>
      <w:i/>
      <w:u w:val="none"/>
    </w:rPr>
  </w:style>
  <w:style w:type="paragraph" w:styleId="BalloonText">
    <w:name w:val="Balloon Text"/>
    <w:basedOn w:val="Normal"/>
    <w:link w:val="BalloonTextChar"/>
    <w:rsid w:val="009C7134"/>
    <w:rPr>
      <w:rFonts w:ascii="Tahoma" w:hAnsi="Tahoma" w:cs="Tahoma"/>
      <w:sz w:val="16"/>
      <w:szCs w:val="16"/>
    </w:rPr>
  </w:style>
  <w:style w:type="character" w:customStyle="1" w:styleId="BalloonTextChar">
    <w:name w:val="Balloon Text Char"/>
    <w:basedOn w:val="DefaultParagraphFont"/>
    <w:link w:val="BalloonText"/>
    <w:rsid w:val="009C7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134"/>
    <w:rPr>
      <w:b/>
      <w:color w:val="660033"/>
      <w:spacing w:val="0"/>
    </w:rPr>
  </w:style>
  <w:style w:type="paragraph" w:customStyle="1" w:styleId="Nameditemlist">
    <w:name w:val="Named item list"/>
    <w:basedOn w:val="BodyText"/>
    <w:qFormat/>
    <w:rsid w:val="009C7134"/>
    <w:pPr>
      <w:tabs>
        <w:tab w:val="left" w:pos="2835"/>
      </w:tabs>
      <w:ind w:left="2835" w:hanging="2835"/>
    </w:pPr>
  </w:style>
  <w:style w:type="paragraph" w:customStyle="1" w:styleId="BodyTextnopadding">
    <w:name w:val="Body Text no padding"/>
    <w:basedOn w:val="BodyText"/>
    <w:qFormat/>
    <w:rsid w:val="009C7134"/>
    <w:pPr>
      <w:spacing w:before="0" w:after="0"/>
    </w:pPr>
  </w:style>
  <w:style w:type="paragraph" w:customStyle="1" w:styleId="BodyTextBold">
    <w:name w:val="Body Text Bold"/>
    <w:basedOn w:val="BodyText"/>
    <w:qFormat/>
    <w:rsid w:val="009C7134"/>
    <w:rPr>
      <w:b/>
    </w:rPr>
  </w:style>
  <w:style w:type="character" w:styleId="Hyperlink">
    <w:name w:val="Hyperlink"/>
    <w:basedOn w:val="DefaultParagraphFont"/>
    <w:uiPriority w:val="99"/>
    <w:unhideWhenUsed/>
    <w:rsid w:val="00D967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5094</Characters>
  <Application>Microsoft Office Word</Application>
  <DocSecurity>0</DocSecurity>
  <Lines>169</Lines>
  <Paragraphs>76</Paragraphs>
  <ScaleCrop>false</ScaleCrop>
  <Company>Author-it Software Corporation Ltd.</Company>
  <LinksUpToDate>false</LinksUpToDate>
  <CharactersWithSpaces>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UEEHA0022 Determine the explosion-protection requirements to meet a specified classified hazardous area</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