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4A2" w:rsidP="002B44A2">
      <w:pPr>
        <w:pStyle w:val="Title"/>
      </w:pPr>
      <w:r>
        <w:fldChar w:fldCharType="begin"/>
      </w:r>
      <w:r>
        <w:instrText xml:space="preserve"> TITLE   \* MERGEFORMAT </w:instrText>
      </w:r>
      <w:r>
        <w:fldChar w:fldCharType="separate"/>
      </w:r>
      <w:r>
        <w:t>UEEHA0021 Design explosion-protected electrical systems and installations</w:t>
      </w:r>
      <w:r>
        <w:fldChar w:fldCharType="end"/>
      </w:r>
    </w:p>
    <w:p w:rsidR="002B44A2" w:rsidP="002B44A2">
      <w:pPr>
        <w:pStyle w:val="Version"/>
        <w:sectPr w:rsidSect="001E22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229" w:rsidP="001E2229">
      <w:pPr>
        <w:pStyle w:val="SuperHeading"/>
      </w:pPr>
      <w:r w:rsidRPr="001E2229">
        <w:t>UEEHA0021 Design explosion-protected electrical systems and installations</w:t>
      </w:r>
    </w:p>
    <w:p w:rsidR="00000000" w:rsidRPr="001E2229" w:rsidP="001E2229">
      <w:pPr>
        <w:pStyle w:val="Heading1"/>
      </w:pPr>
      <w:bookmarkStart w:id="1" w:name="O_1242840"/>
      <w:bookmarkEnd w:id="1"/>
      <w:r w:rsidRPr="001E2229">
        <w:t>Modification History</w:t>
      </w:r>
    </w:p>
    <w:tbl>
      <w:tblPr>
        <w:tblW w:w="9497" w:type="dxa"/>
        <w:tblLayout w:type="fixed"/>
        <w:tblCellMar>
          <w:left w:w="62" w:type="dxa"/>
          <w:right w:w="62" w:type="dxa"/>
        </w:tblCellMar>
        <w:tblLook w:val="0000"/>
      </w:tblPr>
      <w:tblGrid>
        <w:gridCol w:w="9497"/>
      </w:tblGrid>
      <w:tr w:rsidTr="001E22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t>Release 1. This is the first release of this unit of competency in the Electrotechnology Training Package.</w:t>
            </w:r>
          </w:p>
        </w:tc>
      </w:tr>
    </w:tbl>
    <w:p w:rsidR="00000000" w:rsidRPr="001E2229" w:rsidP="001E2229">
      <w:pPr>
        <w:pStyle w:val="NoPaddingFontSize1"/>
      </w:pPr>
    </w:p>
    <w:p w:rsidR="00000000" w:rsidRPr="001E2229" w:rsidP="001E2229">
      <w:pPr>
        <w:pStyle w:val="AllowPageBreak"/>
      </w:pPr>
    </w:p>
    <w:p w:rsidR="00000000" w:rsidRPr="001E2229" w:rsidP="001E2229">
      <w:pPr>
        <w:pStyle w:val="Heading1"/>
      </w:pPr>
      <w:bookmarkStart w:id="2" w:name="O_1242841"/>
      <w:bookmarkEnd w:id="2"/>
      <w:r w:rsidRPr="001E2229">
        <w:t>Application</w:t>
      </w:r>
    </w:p>
    <w:tbl>
      <w:tblPr>
        <w:tblW w:w="9497" w:type="dxa"/>
        <w:tblLayout w:type="fixed"/>
        <w:tblCellMar>
          <w:left w:w="62" w:type="dxa"/>
          <w:right w:w="62" w:type="dxa"/>
        </w:tblCellMar>
        <w:tblLook w:val="0000"/>
      </w:tblPr>
      <w:tblGrid>
        <w:gridCol w:w="9497"/>
      </w:tblGrid>
      <w:tr w:rsidTr="001E22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t>This unit involves the skills and knowledge required to apply explosion-protection aspects in designing electrical power, control and instrumentation systems and installations for hazardous areas.</w:t>
            </w:r>
          </w:p>
          <w:p w:rsidR="00000000" w:rsidRPr="001E2229" w:rsidP="001E2229">
            <w:pPr>
              <w:pStyle w:val="BodyText"/>
            </w:pPr>
            <w:r w:rsidRPr="001E2229">
              <w:t>It includes: understanding of the explosion-protection requ</w:t>
            </w:r>
            <w:r w:rsidRPr="001E2229">
              <w:t>ired for electrical installation for hazardous areas; determining the scope of the required electrical installation from hazardous area classification drawings, process specifications and plant design; documenting detailed specifications of compliant explo</w:t>
            </w:r>
            <w:r w:rsidRPr="001E2229">
              <w:t xml:space="preserve">sion-protected equipment and wiring systems, equipment locations, cable routes; and obtaining and interpreting the standards to which the installations need to comply. </w:t>
            </w:r>
          </w:p>
          <w:p w:rsidR="00000000" w:rsidRPr="001E2229" w:rsidP="001E2229">
            <w:pPr>
              <w:pStyle w:val="BodyText"/>
            </w:pPr>
            <w:r w:rsidRPr="001E2229">
              <w:t>This unit applies to electrical, instrumentation and control engineering design job fun</w:t>
            </w:r>
            <w:r w:rsidRPr="001E2229">
              <w:t>ctions.</w:t>
            </w:r>
          </w:p>
          <w:p w:rsidR="00000000" w:rsidRPr="001E2229" w:rsidP="001E2229">
            <w:pPr>
              <w:pStyle w:val="BodyText"/>
            </w:pPr>
            <w:r w:rsidRPr="001E2229">
              <w:t>Site-specific work permits may be required to work in the hazardous environment.  In addition, other permits may be required, such as confined space and to operate specific pieces of equipment such as elevated work platforms in various jurisdiction</w:t>
            </w:r>
            <w:r w:rsidRPr="001E2229">
              <w:t>s.</w:t>
            </w:r>
          </w:p>
          <w:p w:rsidR="00000000" w:rsidRPr="001E2229" w:rsidP="001E2229">
            <w:pPr>
              <w:pStyle w:val="BodyText"/>
            </w:pPr>
            <w:r w:rsidRPr="001E2229">
              <w:t>Additional and/or other conditions may apply in some jurisdictions subject to regulations related to electrical work. Practice in the workplace and during training is also subject to work health and safety (WHS)/occupational health and safety (OHS) regu</w:t>
            </w:r>
            <w:r w:rsidRPr="001E2229">
              <w:t>lations.</w:t>
            </w:r>
          </w:p>
          <w:p w:rsidR="00000000" w:rsidRPr="001E2229" w:rsidP="001E2229">
            <w:pPr>
              <w:pStyle w:val="BodyText"/>
            </w:pPr>
            <w:r w:rsidRPr="001E2229">
              <w:t>This unit of competency and associated assessment requirements is adopted from clause 2.13 of AS/NZS 4761.1:2018 Competencies for working with electrical equipment for hazardous areas (EEHA). There may be differences between the content of this un</w:t>
            </w:r>
            <w:r w:rsidRPr="001E2229">
              <w:t>it and AS/NZS 4761.1:2018, so the Standard must be checked to ensure compliance with it. Clause 2.13 of AS/NZS 4761.1:2018 also includes the following precondition for assessment:</w:t>
            </w:r>
          </w:p>
          <w:p w:rsidR="00000000" w:rsidRPr="001E2229" w:rsidP="001E2229">
            <w:pPr>
              <w:pStyle w:val="ListBullet"/>
            </w:pPr>
            <w:r>
              <w:t>“</w:t>
            </w:r>
            <w:r w:rsidRPr="001E2229">
              <w:t>A candidate seeking assessment in this unit shall have been deemed compete</w:t>
            </w:r>
            <w:r w:rsidRPr="001E2229">
              <w:t>nt to design general electrical and control systems and installations at AQF level 6 or NZQF level 7 or equivalent.</w:t>
            </w:r>
            <w:r>
              <w:t>”</w:t>
            </w:r>
          </w:p>
        </w:tc>
      </w:tr>
    </w:tbl>
    <w:p w:rsidR="00000000" w:rsidRPr="001E2229" w:rsidP="001E2229">
      <w:pPr>
        <w:pStyle w:val="NoPaddingFontSize1"/>
      </w:pPr>
    </w:p>
    <w:p w:rsidR="00000000" w:rsidRPr="001E2229" w:rsidP="001E2229">
      <w:pPr>
        <w:pStyle w:val="AllowPageBreak"/>
      </w:pPr>
    </w:p>
    <w:p w:rsidR="00000000" w:rsidRPr="001E2229" w:rsidP="001E2229">
      <w:pPr>
        <w:pStyle w:val="Heading1"/>
      </w:pPr>
      <w:bookmarkStart w:id="3" w:name="O_1242842"/>
      <w:bookmarkEnd w:id="3"/>
      <w:r w:rsidRPr="001E2229">
        <w:t>Pre-requisite Unit</w:t>
      </w:r>
    </w:p>
    <w:tbl>
      <w:tblPr>
        <w:tblW w:w="9497" w:type="dxa"/>
        <w:tblLayout w:type="fixed"/>
        <w:tblCellMar>
          <w:left w:w="62" w:type="dxa"/>
          <w:right w:w="62" w:type="dxa"/>
        </w:tblCellMar>
        <w:tblLook w:val="0000"/>
      </w:tblPr>
      <w:tblGrid>
        <w:gridCol w:w="9497"/>
      </w:tblGrid>
      <w:tr w:rsidTr="001E22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t>UEEHA0022 Determine the explosion-protection requirements to meet a specified classified hazardous area</w:t>
            </w:r>
          </w:p>
        </w:tc>
      </w:tr>
    </w:tbl>
    <w:p w:rsidR="00000000" w:rsidRPr="001E2229" w:rsidP="001E2229">
      <w:pPr>
        <w:pStyle w:val="NoPaddingFontSize1"/>
      </w:pPr>
    </w:p>
    <w:p w:rsidR="00000000" w:rsidRPr="001E2229" w:rsidP="001E2229">
      <w:pPr>
        <w:pStyle w:val="AllowPageBreak"/>
      </w:pPr>
    </w:p>
    <w:p w:rsidR="00000000" w:rsidRPr="001E2229" w:rsidP="001E2229">
      <w:pPr>
        <w:pStyle w:val="Heading1"/>
      </w:pPr>
      <w:bookmarkStart w:id="4" w:name="O_1242843"/>
      <w:bookmarkEnd w:id="4"/>
      <w:r w:rsidRPr="001E2229">
        <w:t>Competency Field</w:t>
      </w:r>
    </w:p>
    <w:tbl>
      <w:tblPr>
        <w:tblW w:w="9497" w:type="dxa"/>
        <w:tblLayout w:type="fixed"/>
        <w:tblCellMar>
          <w:left w:w="62" w:type="dxa"/>
          <w:right w:w="62" w:type="dxa"/>
        </w:tblCellMar>
        <w:tblLook w:val="0000"/>
      </w:tblPr>
      <w:tblGrid>
        <w:gridCol w:w="9497"/>
      </w:tblGrid>
      <w:tr w:rsidTr="001E22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t>Hazards</w:t>
            </w:r>
          </w:p>
        </w:tc>
      </w:tr>
    </w:tbl>
    <w:p w:rsidR="00000000" w:rsidRPr="001E2229" w:rsidP="001E2229">
      <w:pPr>
        <w:pStyle w:val="NoPaddingFontSize1"/>
      </w:pPr>
    </w:p>
    <w:p w:rsidR="00000000" w:rsidRPr="001E2229" w:rsidP="001E2229">
      <w:pPr>
        <w:pStyle w:val="AllowPageBreak"/>
      </w:pPr>
    </w:p>
    <w:p w:rsidR="00000000" w:rsidRPr="001E2229" w:rsidP="001E2229">
      <w:pPr>
        <w:pStyle w:val="Heading1"/>
      </w:pPr>
      <w:bookmarkStart w:id="5" w:name="O_1242844"/>
      <w:bookmarkEnd w:id="5"/>
      <w:r w:rsidRPr="001E2229">
        <w:t>Unit Sector</w:t>
      </w:r>
    </w:p>
    <w:tbl>
      <w:tblPr>
        <w:tblW w:w="9497" w:type="dxa"/>
        <w:tblLayout w:type="fixed"/>
        <w:tblCellMar>
          <w:left w:w="62" w:type="dxa"/>
          <w:right w:w="62" w:type="dxa"/>
        </w:tblCellMar>
        <w:tblLook w:val="0000"/>
      </w:tblPr>
      <w:tblGrid>
        <w:gridCol w:w="9497"/>
      </w:tblGrid>
      <w:tr w:rsidTr="001E22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t>Electrotechnology</w:t>
            </w:r>
          </w:p>
        </w:tc>
      </w:tr>
    </w:tbl>
    <w:p w:rsidR="00000000" w:rsidRPr="001E2229" w:rsidP="001E2229">
      <w:pPr>
        <w:pStyle w:val="NoPaddingFontSize1"/>
      </w:pPr>
    </w:p>
    <w:p w:rsidR="00000000" w:rsidRPr="001E2229" w:rsidP="001E2229">
      <w:pPr>
        <w:pStyle w:val="AllowPageBreak"/>
      </w:pPr>
    </w:p>
    <w:p w:rsidR="00000000" w:rsidRPr="001E2229" w:rsidP="001E2229">
      <w:pPr>
        <w:pStyle w:val="Heading1"/>
      </w:pPr>
      <w:bookmarkStart w:id="6" w:name="O_1242845"/>
      <w:bookmarkEnd w:id="6"/>
      <w:r w:rsidRPr="001E2229">
        <w:t>Elements and Performance Criteria</w:t>
      </w:r>
    </w:p>
    <w:tbl>
      <w:tblPr>
        <w:tblW w:w="9497" w:type="dxa"/>
        <w:tblLayout w:type="fixed"/>
        <w:tblCellMar>
          <w:left w:w="62" w:type="dxa"/>
          <w:right w:w="62" w:type="dxa"/>
        </w:tblCellMar>
        <w:tblLook w:val="0000"/>
      </w:tblPr>
      <w:tblGrid>
        <w:gridCol w:w="403"/>
        <w:gridCol w:w="2861"/>
        <w:gridCol w:w="697"/>
        <w:gridCol w:w="5536"/>
      </w:tblGrid>
      <w:tr w:rsidTr="001E2229">
        <w:tblPrEx>
          <w:tblW w:w="9497" w:type="dxa"/>
          <w:tblLayout w:type="fixed"/>
          <w:tblCellMar>
            <w:left w:w="62" w:type="dxa"/>
            <w:right w:w="62" w:type="dxa"/>
          </w:tblCellMar>
          <w:tblLook w:val="0000"/>
        </w:tblPrEx>
        <w:tc>
          <w:tcPr>
            <w:tcW w:w="3264" w:type="dxa"/>
            <w:gridSpan w:val="2"/>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rPr>
                <w:rStyle w:val="SpecialBold"/>
              </w:rPr>
              <w:t>ELEMENTS</w:t>
            </w:r>
          </w:p>
        </w:tc>
        <w:tc>
          <w:tcPr>
            <w:tcW w:w="6233" w:type="dxa"/>
            <w:gridSpan w:val="2"/>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PERFORMANCE CRITERIA</w:t>
            </w:r>
          </w:p>
        </w:tc>
      </w:tr>
      <w:tr w:rsidTr="001E2229">
        <w:tblPrEx>
          <w:tblW w:w="9497" w:type="dxa"/>
          <w:tblLayout w:type="fixed"/>
          <w:tblCellMar>
            <w:left w:w="62" w:type="dxa"/>
            <w:right w:w="62" w:type="dxa"/>
          </w:tblCellMar>
          <w:tblLook w:val="0000"/>
        </w:tblPrEx>
        <w:tc>
          <w:tcPr>
            <w:tcW w:w="3264" w:type="dxa"/>
            <w:gridSpan w:val="2"/>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Elements describe the essential outcomes.</w:t>
            </w:r>
          </w:p>
        </w:tc>
        <w:tc>
          <w:tcPr>
            <w:tcW w:w="6233" w:type="dxa"/>
            <w:gridSpan w:val="2"/>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Performance criteria describe the performance needed to demonstrate achievement of the element.</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rPr>
                <w:rStyle w:val="SpecialBold"/>
              </w:rPr>
              <w:t>1</w:t>
            </w:r>
          </w:p>
        </w:tc>
        <w:tc>
          <w:tcPr>
            <w:tcW w:w="2861"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rPr>
                <w:rStyle w:val="SpecialBold"/>
              </w:rPr>
              <w:t>Establish the explosion-protection requirements for an electrical system and installation</w:t>
            </w: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1.1</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Explosion- protection requirements for electrical installation for hazardous areas are obtained, interpreted and applied</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1E22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1.2</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Hazardous area classification</w:t>
            </w:r>
            <w:r w:rsidRPr="001E2229">
              <w:tab/>
              <w:t>draw</w:t>
            </w:r>
            <w:r w:rsidRPr="001E2229">
              <w:t>ings, process specifications and plant design documentation are reviewed and the scope of the required electrical installation determined</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1E22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1.3</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Explosion-protection requireme</w:t>
            </w:r>
            <w:r w:rsidRPr="001E2229">
              <w:t>nts are determined from reviewing the standards to the installation is required to comply</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rPr>
                <w:rStyle w:val="SpecialBold"/>
              </w:rPr>
              <w:t>2</w:t>
            </w:r>
          </w:p>
        </w:tc>
        <w:tc>
          <w:tcPr>
            <w:tcW w:w="2861"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rPr>
                <w:rStyle w:val="SpecialBold"/>
              </w:rPr>
              <w:t>Incorporate the explosion-protection requirements in electrical systems and installation design</w:t>
            </w: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2.1</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Consideration is given to locating electrical equipment in non-</w:t>
            </w:r>
            <w:r w:rsidRPr="001E2229">
              <w:t>hazardous areas, where possible</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1E22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2.2</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The installation is designed to maximise ease of access for inspection and maintenance</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1E22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2.3</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Ability to obtain the required degree of operational safety for the installation is incorporated in the design</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1E22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2.4</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The specification for the ratings and characteristics of electrical equipment in the installation are compatible with the explosion-protection requirements</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1E22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2.5</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Engineering principles are applied to ensure the parameters for each equipment type, equipmen</w:t>
            </w:r>
            <w:r w:rsidRPr="001E2229">
              <w:t xml:space="preserve">t group, </w:t>
            </w:r>
            <w:r w:rsidRPr="001E2229">
              <w:t>equipment temperature class, cables and other factors for correct application are compliant and correctly specified</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1E22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2.6</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 xml:space="preserve">Equipment is specified for the explosive atmosphere, zone and external influences in the locations where equipment is to be </w:t>
            </w:r>
            <w:r w:rsidRPr="001E2229">
              <w:t>installed</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1E22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2.7</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Wiring systems (cables, supports, enclosures) are specified for the atmosphere, zones and external influences along the routes where they are to be installed</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rPr>
                <w:rStyle w:val="SpecialBold"/>
              </w:rPr>
              <w:t>3</w:t>
            </w:r>
          </w:p>
        </w:tc>
        <w:tc>
          <w:tcPr>
            <w:tcW w:w="2861"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rPr>
                <w:rStyle w:val="SpecialBold"/>
              </w:rPr>
              <w:t>Document and finalise design</w:t>
            </w: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3.1</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Design is checked for compliance with the requirements established for the electrical system and installation</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1E22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3.2</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Design is documented to include specification of all explosion-protected equipment and wiring systems, equipment location and cable route drawings and compliance documents for each item of explosion-protected equipment</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1E22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3.3</w:t>
            </w:r>
          </w:p>
        </w:tc>
        <w:tc>
          <w:tcPr>
            <w:tcW w:w="5536"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Design</w:t>
            </w:r>
            <w:r w:rsidRPr="001E2229">
              <w:tab/>
              <w:t>is submitted for approp</w:t>
            </w:r>
            <w:r w:rsidRPr="001E2229">
              <w:t>riate organisational approval and, where applicable, statutory or regulatory approval</w:t>
            </w:r>
          </w:p>
        </w:tc>
      </w:tr>
      <w:tr w:rsidTr="001E22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1E22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rPr>
                <w:rStyle w:val="SpecialBold"/>
              </w:rPr>
              <w:t>3.4</w:t>
            </w:r>
          </w:p>
        </w:tc>
        <w:tc>
          <w:tcPr>
            <w:tcW w:w="5536"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t>Approved copies of design documents are included in the verification dossier</w:t>
            </w:r>
          </w:p>
        </w:tc>
      </w:tr>
    </w:tbl>
    <w:p w:rsidR="00000000" w:rsidRPr="001E2229" w:rsidP="001E2229">
      <w:pPr>
        <w:pStyle w:val="NoPaddingFontSize1"/>
      </w:pPr>
    </w:p>
    <w:p w:rsidR="00000000" w:rsidRPr="001E2229" w:rsidP="001E2229">
      <w:pPr>
        <w:pStyle w:val="AllowPageBreak"/>
      </w:pPr>
    </w:p>
    <w:p w:rsidR="00000000" w:rsidRPr="001E2229" w:rsidP="001E2229">
      <w:pPr>
        <w:pStyle w:val="Heading1"/>
      </w:pPr>
      <w:bookmarkStart w:id="7" w:name="O_1242846"/>
      <w:bookmarkEnd w:id="7"/>
      <w:r w:rsidRPr="001E2229">
        <w:t>Foundation Skills</w:t>
      </w:r>
    </w:p>
    <w:tbl>
      <w:tblPr>
        <w:tblW w:w="9497" w:type="dxa"/>
        <w:tblLayout w:type="fixed"/>
        <w:tblCellMar>
          <w:left w:w="62" w:type="dxa"/>
          <w:right w:w="62" w:type="dxa"/>
        </w:tblCellMar>
        <w:tblLook w:val="0000"/>
      </w:tblPr>
      <w:tblGrid>
        <w:gridCol w:w="9497"/>
      </w:tblGrid>
      <w:tr w:rsidTr="001E22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t xml:space="preserve">Foundation skills essential to performance are </w:t>
            </w:r>
            <w:r w:rsidRPr="001E2229">
              <w:t>explicit in the performance criteria of this unit of competency.</w:t>
            </w:r>
          </w:p>
        </w:tc>
      </w:tr>
    </w:tbl>
    <w:p w:rsidR="00000000" w:rsidRPr="001E2229" w:rsidP="001E2229">
      <w:pPr>
        <w:pStyle w:val="NoPaddingFontSize1"/>
      </w:pPr>
    </w:p>
    <w:p w:rsidR="00000000" w:rsidRPr="001E2229" w:rsidP="001E2229">
      <w:pPr>
        <w:pStyle w:val="AllowPageBreak"/>
      </w:pPr>
    </w:p>
    <w:p w:rsidR="00000000" w:rsidRPr="001E2229" w:rsidP="001E2229">
      <w:pPr>
        <w:pStyle w:val="Heading1"/>
      </w:pPr>
      <w:bookmarkStart w:id="8" w:name="O_1242847"/>
      <w:bookmarkEnd w:id="8"/>
      <w:r w:rsidRPr="001E2229">
        <w:t>Range of Conditions</w:t>
      </w:r>
    </w:p>
    <w:tbl>
      <w:tblPr>
        <w:tblW w:w="9497" w:type="dxa"/>
        <w:tblLayout w:type="fixed"/>
        <w:tblCellMar>
          <w:left w:w="62" w:type="dxa"/>
          <w:right w:w="62" w:type="dxa"/>
        </w:tblCellMar>
        <w:tblLook w:val="0000"/>
      </w:tblPr>
      <w:tblGrid>
        <w:gridCol w:w="3189"/>
        <w:gridCol w:w="6308"/>
      </w:tblGrid>
      <w:tr w:rsidTr="001E222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t>Range is restricted to essential operating conditions and any other variables essential to the work environment.</w:t>
            </w:r>
          </w:p>
          <w:p w:rsidR="00000000" w:rsidP="001E2229">
            <w:pPr>
              <w:pStyle w:val="BodyText"/>
              <w:rPr>
                <w:lang w:val="en-NZ"/>
              </w:rPr>
            </w:pPr>
            <w:r w:rsidRPr="001E2229">
              <w:t>Non-essential conditions may be found in the Electrotechnology Training Package Companion Volume Implementation Guide.</w:t>
            </w:r>
          </w:p>
        </w:tc>
      </w:tr>
      <w:tr w:rsidTr="001E2229">
        <w:tblPrEx>
          <w:tblW w:w="9497" w:type="dxa"/>
          <w:tblLayout w:type="fixed"/>
          <w:tblCellMar>
            <w:left w:w="62" w:type="dxa"/>
            <w:right w:w="62" w:type="dxa"/>
          </w:tblCellMar>
          <w:tblLook w:val="0000"/>
        </w:tblPrEx>
        <w:tc>
          <w:tcPr>
            <w:tcW w:w="3189" w:type="dxa"/>
            <w:tcBorders>
              <w:top w:val="nil"/>
              <w:left w:val="nil"/>
              <w:bottom w:val="nil"/>
              <w:right w:val="nil"/>
            </w:tcBorders>
            <w:tcMar>
              <w:top w:w="0" w:type="dxa"/>
              <w:left w:w="62" w:type="dxa"/>
              <w:bottom w:w="0" w:type="dxa"/>
              <w:right w:w="62" w:type="dxa"/>
            </w:tcMar>
          </w:tcPr>
          <w:p w:rsidR="00000000" w:rsidP="001E2229">
            <w:pPr>
              <w:pStyle w:val="BodyText"/>
              <w:rPr>
                <w:lang w:val="en-NZ"/>
              </w:rPr>
            </w:pPr>
            <w:r w:rsidRPr="001E2229">
              <w:t>Essential operating conditions include:</w:t>
            </w:r>
          </w:p>
        </w:tc>
        <w:tc>
          <w:tcPr>
            <w:tcW w:w="6308" w:type="dxa"/>
            <w:tcBorders>
              <w:top w:val="nil"/>
              <w:left w:val="nil"/>
              <w:bottom w:val="nil"/>
              <w:right w:val="nil"/>
            </w:tcBorders>
            <w:tcMar>
              <w:top w:w="0" w:type="dxa"/>
              <w:left w:w="62" w:type="dxa"/>
              <w:bottom w:w="0" w:type="dxa"/>
              <w:right w:w="62" w:type="dxa"/>
            </w:tcMar>
          </w:tcPr>
          <w:p w:rsidR="00000000" w:rsidRPr="001E2229" w:rsidP="001E2229">
            <w:pPr>
              <w:pStyle w:val="ListBullet"/>
            </w:pPr>
            <w:r w:rsidRPr="001E2229">
              <w:t>an engineering office engaged in electrical design of electrical systems and installations for</w:t>
            </w:r>
            <w:r w:rsidRPr="001E2229">
              <w:t xml:space="preserve"> explosive atmospheres</w:t>
            </w:r>
          </w:p>
          <w:p w:rsidR="00000000" w:rsidRPr="001E2229" w:rsidP="001E2229">
            <w:pPr>
              <w:pStyle w:val="ListBullet"/>
            </w:pPr>
            <w:r w:rsidRPr="001E2229">
              <w:t>hazardous area classification drawings</w:t>
            </w:r>
          </w:p>
          <w:p w:rsidR="00000000" w:rsidRPr="001E2229" w:rsidP="001E2229">
            <w:pPr>
              <w:pStyle w:val="ListBullet"/>
            </w:pPr>
            <w:r w:rsidRPr="001E2229">
              <w:t>process specifications</w:t>
            </w:r>
          </w:p>
          <w:p w:rsidR="00000000" w:rsidRPr="001E2229" w:rsidP="001E2229">
            <w:pPr>
              <w:pStyle w:val="ListBullet"/>
            </w:pPr>
            <w:r w:rsidRPr="001E2229">
              <w:t>plant design documentation</w:t>
            </w:r>
          </w:p>
          <w:p w:rsidR="00000000" w:rsidRPr="001E2229" w:rsidP="001E2229">
            <w:pPr>
              <w:pStyle w:val="ListBullet"/>
            </w:pPr>
            <w:r w:rsidRPr="001E2229">
              <w:t>relevant standards and codes and relevant technical data from manufacturers of explosion-protected equipment</w:t>
            </w:r>
          </w:p>
        </w:tc>
      </w:tr>
    </w:tbl>
    <w:p w:rsidR="00000000" w:rsidRPr="001E2229" w:rsidP="001E2229">
      <w:pPr>
        <w:pStyle w:val="NoPaddingFontSize1"/>
      </w:pPr>
    </w:p>
    <w:p w:rsidR="00000000" w:rsidRPr="001E2229" w:rsidP="001E2229">
      <w:pPr>
        <w:pStyle w:val="AllowPageBreak"/>
      </w:pPr>
    </w:p>
    <w:p w:rsidR="00000000" w:rsidRPr="001E2229" w:rsidP="001E2229">
      <w:pPr>
        <w:pStyle w:val="Heading1"/>
      </w:pPr>
      <w:bookmarkStart w:id="9" w:name="O_1242848"/>
      <w:bookmarkEnd w:id="9"/>
      <w:r w:rsidRPr="001E2229">
        <w:t>Unit Mapping Information</w:t>
      </w:r>
    </w:p>
    <w:tbl>
      <w:tblPr>
        <w:tblW w:w="9497" w:type="dxa"/>
        <w:tblLayout w:type="fixed"/>
        <w:tblCellMar>
          <w:left w:w="62" w:type="dxa"/>
          <w:right w:w="62" w:type="dxa"/>
        </w:tblCellMar>
        <w:tblLook w:val="0000"/>
      </w:tblPr>
      <w:tblGrid>
        <w:gridCol w:w="9497"/>
      </w:tblGrid>
      <w:tr w:rsidTr="001E22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229" w:rsidP="001E2229">
            <w:pPr>
              <w:pStyle w:val="BodyText"/>
            </w:pPr>
            <w:r w:rsidRPr="001E2229">
              <w:t>This is a new unit.</w:t>
            </w:r>
          </w:p>
        </w:tc>
      </w:tr>
    </w:tbl>
    <w:p w:rsidR="00000000" w:rsidRPr="001E2229" w:rsidP="001E2229">
      <w:pPr>
        <w:pStyle w:val="NoPaddingFontSize1"/>
      </w:pPr>
    </w:p>
    <w:p w:rsidR="00000000" w:rsidRPr="001E2229" w:rsidP="001E2229">
      <w:pPr>
        <w:pStyle w:val="AllowPageBreak"/>
      </w:pPr>
    </w:p>
    <w:p w:rsidR="00000000" w:rsidRPr="001E2229" w:rsidP="001E2229">
      <w:pPr>
        <w:pStyle w:val="Heading1"/>
      </w:pPr>
      <w:bookmarkStart w:id="10" w:name="O_1242855"/>
      <w:bookmarkEnd w:id="10"/>
      <w:r w:rsidRPr="001E2229">
        <w:t>Links</w:t>
      </w:r>
    </w:p>
    <w:p w:rsidR="00000000" w:rsidRPr="001E2229" w:rsidP="002B44A2">
      <w:pPr>
        <w:pStyle w:val="BodyText"/>
      </w:pPr>
      <w:r w:rsidRPr="001E222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F4BE7">
        <w:rPr>
          <w:rStyle w:val="Hyperlink"/>
        </w:rPr>
        <w:t>https://vetnet.gov.au/Pages/TrainingDocs.aspx?q=b8a8f136-5421-4ce1-92e0-2b50341431b6</w:t>
      </w:r>
      <w:r>
        <w:fldChar w:fldCharType="end"/>
      </w:r>
    </w:p>
    <w:p w:rsidR="00000000" w:rsidRPr="001E2229" w:rsidP="001E2229"/>
    <w:sectPr w:rsidSect="001E22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229" w:rsidRPr="002B44A2" w:rsidP="002B4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4A2" w:rsidP="001E2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44A2" w:rsidP="001E222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B44A2" w:rsidP="001E22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4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229" w:rsidRPr="002B44A2" w:rsidP="002B44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4A2" w:rsidRPr="002D2AF8" w:rsidP="001E2229">
    <w:pPr>
      <w:pStyle w:val="Header"/>
      <w:framePr w:wrap="around"/>
    </w:pPr>
    <w:r>
      <w:fldChar w:fldCharType="begin"/>
    </w:r>
    <w:r>
      <w:instrText xml:space="preserve"> TITLE   \* MERGEFORMAT </w:instrText>
    </w:r>
    <w:r>
      <w:fldChar w:fldCharType="separate"/>
    </w:r>
    <w:r>
      <w:t>UEEHA0021 Design explosion-protected electrical systems and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B44A2" w:rsidP="001E22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36A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A407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2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229"/>
    <w:pPr>
      <w:spacing w:before="360" w:after="60"/>
      <w:outlineLvl w:val="0"/>
    </w:pPr>
    <w:rPr>
      <w:sz w:val="32"/>
    </w:rPr>
  </w:style>
  <w:style w:type="paragraph" w:styleId="Heading2">
    <w:name w:val="heading 2"/>
    <w:basedOn w:val="HeadingBase"/>
    <w:next w:val="BodyText"/>
    <w:link w:val="Heading2Char"/>
    <w:qFormat/>
    <w:rsid w:val="001E2229"/>
    <w:pPr>
      <w:keepLines/>
      <w:spacing w:before="240" w:after="120"/>
      <w:outlineLvl w:val="1"/>
    </w:pPr>
    <w:rPr>
      <w:sz w:val="28"/>
      <w:szCs w:val="40"/>
    </w:rPr>
  </w:style>
  <w:style w:type="paragraph" w:styleId="Heading3">
    <w:name w:val="heading 3"/>
    <w:basedOn w:val="HeadingBase"/>
    <w:next w:val="BodyText"/>
    <w:link w:val="Heading3Char"/>
    <w:qFormat/>
    <w:rsid w:val="001E2229"/>
    <w:pPr>
      <w:spacing w:before="180" w:after="120"/>
      <w:outlineLvl w:val="2"/>
    </w:pPr>
    <w:rPr>
      <w:spacing w:val="-10"/>
      <w:kern w:val="32"/>
    </w:rPr>
  </w:style>
  <w:style w:type="paragraph" w:styleId="Heading4">
    <w:name w:val="heading 4"/>
    <w:basedOn w:val="HeadingBase"/>
    <w:next w:val="BodyText"/>
    <w:link w:val="Heading4Char"/>
    <w:qFormat/>
    <w:rsid w:val="001E2229"/>
    <w:pPr>
      <w:spacing w:before="160" w:after="120"/>
      <w:outlineLvl w:val="3"/>
    </w:pPr>
    <w:rPr>
      <w:sz w:val="22"/>
    </w:rPr>
  </w:style>
  <w:style w:type="paragraph" w:styleId="Heading5">
    <w:name w:val="heading 5"/>
    <w:basedOn w:val="HeadingBase"/>
    <w:next w:val="Normal"/>
    <w:link w:val="Heading5Char"/>
    <w:qFormat/>
    <w:rsid w:val="001E2229"/>
    <w:pPr>
      <w:spacing w:before="80"/>
      <w:outlineLvl w:val="4"/>
    </w:pPr>
    <w:rPr>
      <w:color w:val="918585"/>
      <w:sz w:val="20"/>
    </w:rPr>
  </w:style>
  <w:style w:type="paragraph" w:styleId="Heading6">
    <w:name w:val="heading 6"/>
    <w:basedOn w:val="HeadingBase"/>
    <w:next w:val="Normal"/>
    <w:link w:val="Heading6Char"/>
    <w:qFormat/>
    <w:rsid w:val="001E2229"/>
    <w:pPr>
      <w:spacing w:before="60"/>
      <w:outlineLvl w:val="5"/>
    </w:pPr>
    <w:rPr>
      <w:color w:val="918585"/>
      <w:sz w:val="20"/>
    </w:rPr>
  </w:style>
  <w:style w:type="paragraph" w:styleId="Heading7">
    <w:name w:val="heading 7"/>
    <w:basedOn w:val="Normal"/>
    <w:next w:val="Normal"/>
    <w:link w:val="Heading7Char"/>
    <w:qFormat/>
    <w:rsid w:val="001E2229"/>
    <w:pPr>
      <w:ind w:left="720"/>
      <w:outlineLvl w:val="6"/>
    </w:pPr>
    <w:rPr>
      <w:i/>
    </w:rPr>
  </w:style>
  <w:style w:type="paragraph" w:styleId="Heading8">
    <w:name w:val="heading 8"/>
    <w:basedOn w:val="Normal"/>
    <w:next w:val="Normal"/>
    <w:link w:val="Heading8Char"/>
    <w:qFormat/>
    <w:rsid w:val="001E2229"/>
    <w:pPr>
      <w:ind w:left="720"/>
      <w:outlineLvl w:val="7"/>
    </w:pPr>
    <w:rPr>
      <w:i/>
    </w:rPr>
  </w:style>
  <w:style w:type="paragraph" w:styleId="Heading9">
    <w:name w:val="heading 9"/>
    <w:basedOn w:val="Normal"/>
    <w:next w:val="Normal"/>
    <w:link w:val="Heading9Char"/>
    <w:qFormat/>
    <w:rsid w:val="001E2229"/>
    <w:pPr>
      <w:ind w:left="720"/>
      <w:outlineLvl w:val="8"/>
    </w:pPr>
    <w:rPr>
      <w:i/>
    </w:rPr>
  </w:style>
  <w:style w:type="character" w:default="1" w:styleId="DefaultParagraphFont">
    <w:name w:val="Default Paragraph Font"/>
    <w:uiPriority w:val="1"/>
    <w:unhideWhenUsed/>
    <w:rsid w:val="001E2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229"/>
  </w:style>
  <w:style w:type="character" w:customStyle="1" w:styleId="Heading1Char">
    <w:name w:val="Heading 1 Char"/>
    <w:basedOn w:val="DefaultParagraphFont"/>
    <w:link w:val="Heading1"/>
    <w:rsid w:val="001E2229"/>
    <w:rPr>
      <w:rFonts w:ascii="Times New Roman" w:eastAsia="Times New Roman" w:hAnsi="Times New Roman" w:cs="Times New Roman"/>
      <w:b/>
      <w:sz w:val="32"/>
      <w:szCs w:val="20"/>
      <w:lang w:eastAsia="en-US"/>
    </w:rPr>
  </w:style>
  <w:style w:type="paragraph" w:styleId="BodyText">
    <w:name w:val="Body Text"/>
    <w:basedOn w:val="Normal"/>
    <w:link w:val="BodyTextChar"/>
    <w:rsid w:val="001E22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229"/>
    <w:rPr>
      <w:rFonts w:ascii="Times New Roman" w:eastAsia="Times New Roman" w:hAnsi="Times New Roman" w:cs="Times New Roman"/>
      <w:sz w:val="24"/>
      <w:lang w:eastAsia="en-US"/>
    </w:rPr>
  </w:style>
  <w:style w:type="paragraph" w:styleId="ListBullet">
    <w:name w:val="List Bullet"/>
    <w:basedOn w:val="List"/>
    <w:rsid w:val="001E2229"/>
    <w:pPr>
      <w:numPr>
        <w:numId w:val="11"/>
      </w:numPr>
      <w:tabs>
        <w:tab w:val="clear" w:pos="340"/>
      </w:tabs>
      <w:spacing w:before="40" w:after="40"/>
    </w:pPr>
  </w:style>
  <w:style w:type="character" w:customStyle="1" w:styleId="SpecialBold">
    <w:name w:val="Special Bold"/>
    <w:basedOn w:val="DefaultParagraphFont"/>
    <w:rsid w:val="001E2229"/>
    <w:rPr>
      <w:b/>
      <w:spacing w:val="0"/>
    </w:rPr>
  </w:style>
  <w:style w:type="paragraph" w:customStyle="1" w:styleId="SuperHeading">
    <w:name w:val="SuperHeading"/>
    <w:basedOn w:val="Normal"/>
    <w:rsid w:val="001E2229"/>
    <w:pPr>
      <w:spacing w:before="240" w:after="120"/>
      <w:outlineLvl w:val="0"/>
    </w:pPr>
    <w:rPr>
      <w:rFonts w:ascii="Times New Roman" w:hAnsi="Times New Roman"/>
      <w:b/>
      <w:sz w:val="32"/>
    </w:rPr>
  </w:style>
  <w:style w:type="paragraph" w:customStyle="1" w:styleId="AllowPageBreak">
    <w:name w:val="AllowPageBreak"/>
    <w:rsid w:val="001E22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2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2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2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229"/>
    <w:rPr>
      <w:rFonts w:ascii="Courier New" w:eastAsia="Times New Roman" w:hAnsi="Courier New" w:cs="Times New Roman"/>
      <w:i/>
      <w:szCs w:val="20"/>
      <w:lang w:eastAsia="en-US"/>
    </w:rPr>
  </w:style>
  <w:style w:type="paragraph" w:customStyle="1" w:styleId="HeadingBase">
    <w:name w:val="Heading Base"/>
    <w:rsid w:val="001E2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229"/>
    <w:pPr>
      <w:tabs>
        <w:tab w:val="right" w:leader="dot" w:pos="9072"/>
      </w:tabs>
      <w:ind w:left="567"/>
    </w:pPr>
    <w:rPr>
      <w:szCs w:val="22"/>
    </w:rPr>
  </w:style>
  <w:style w:type="paragraph" w:customStyle="1" w:styleId="TOCBase">
    <w:name w:val="TOC Base"/>
    <w:rsid w:val="001E2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229"/>
    <w:pPr>
      <w:tabs>
        <w:tab w:val="right" w:leader="dot" w:pos="9072"/>
      </w:tabs>
      <w:spacing w:before="40" w:after="40"/>
      <w:ind w:left="284"/>
    </w:pPr>
    <w:rPr>
      <w:rFonts w:ascii="Times New Roman" w:hAnsi="Times New Roman"/>
    </w:rPr>
  </w:style>
  <w:style w:type="paragraph" w:styleId="TOC1">
    <w:name w:val="toc 1"/>
    <w:basedOn w:val="TOCBase"/>
    <w:next w:val="Normal"/>
    <w:rsid w:val="001E22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229"/>
    <w:rPr>
      <w:rFonts w:ascii="Times New Roman" w:eastAsia="Times New Roman" w:hAnsi="Times New Roman" w:cs="Times New Roman"/>
      <w:sz w:val="16"/>
      <w:lang w:eastAsia="en-US"/>
    </w:rPr>
  </w:style>
  <w:style w:type="paragraph" w:styleId="Title">
    <w:name w:val="Title"/>
    <w:basedOn w:val="HeadingBase"/>
    <w:link w:val="TitleChar"/>
    <w:qFormat/>
    <w:rsid w:val="001E2229"/>
    <w:pPr>
      <w:spacing w:before="5040"/>
      <w:jc w:val="center"/>
    </w:pPr>
    <w:rPr>
      <w:sz w:val="48"/>
      <w:szCs w:val="72"/>
      <w:lang w:val="en-US"/>
    </w:rPr>
  </w:style>
  <w:style w:type="character" w:customStyle="1" w:styleId="TitleChar">
    <w:name w:val="Title Char"/>
    <w:basedOn w:val="DefaultParagraphFont"/>
    <w:link w:val="Title"/>
    <w:rsid w:val="001E2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229"/>
    <w:pPr>
      <w:tabs>
        <w:tab w:val="left" w:pos="3600"/>
        <w:tab w:val="left" w:pos="3958"/>
      </w:tabs>
    </w:pPr>
  </w:style>
  <w:style w:type="paragraph" w:styleId="List">
    <w:name w:val="List"/>
    <w:basedOn w:val="BodyText"/>
    <w:next w:val="BodyText"/>
    <w:rsid w:val="001E2229"/>
    <w:pPr>
      <w:tabs>
        <w:tab w:val="left" w:pos="340"/>
      </w:tabs>
      <w:spacing w:before="60" w:after="60"/>
      <w:ind w:left="340" w:hanging="340"/>
    </w:pPr>
  </w:style>
  <w:style w:type="paragraph" w:customStyle="1" w:styleId="Note">
    <w:name w:val="Note"/>
    <w:basedOn w:val="BodyText"/>
    <w:rsid w:val="001E2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229"/>
    <w:pPr>
      <w:framePr w:wrap="auto" w:hAnchor="text" w:y="6049"/>
    </w:pPr>
    <w:rPr>
      <w:color w:val="000000"/>
      <w:sz w:val="40"/>
    </w:rPr>
  </w:style>
  <w:style w:type="paragraph" w:customStyle="1" w:styleId="TOCTitle">
    <w:name w:val="TOCTitle"/>
    <w:basedOn w:val="Heading1"/>
    <w:rsid w:val="001E2229"/>
    <w:pPr>
      <w:spacing w:after="240"/>
      <w:jc w:val="center"/>
      <w:outlineLvl w:val="9"/>
    </w:pPr>
    <w:rPr>
      <w:caps/>
    </w:rPr>
  </w:style>
  <w:style w:type="paragraph" w:customStyle="1" w:styleId="Version">
    <w:name w:val="Version"/>
    <w:rsid w:val="001E22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2229"/>
    <w:pPr>
      <w:numPr>
        <w:numId w:val="12"/>
      </w:numPr>
      <w:tabs>
        <w:tab w:val="clear" w:pos="680"/>
      </w:tabs>
    </w:pPr>
  </w:style>
  <w:style w:type="paragraph" w:styleId="Index1">
    <w:name w:val="index 1"/>
    <w:basedOn w:val="Normal"/>
    <w:next w:val="Normal"/>
    <w:semiHidden/>
    <w:rsid w:val="001E2229"/>
    <w:pPr>
      <w:keepNext w:val="0"/>
      <w:tabs>
        <w:tab w:val="right" w:pos="4176"/>
      </w:tabs>
      <w:ind w:left="198" w:hanging="198"/>
    </w:pPr>
    <w:rPr>
      <w:rFonts w:ascii="Garamond" w:hAnsi="Garamond"/>
    </w:rPr>
  </w:style>
  <w:style w:type="paragraph" w:styleId="IndexHeading">
    <w:name w:val="index heading"/>
    <w:basedOn w:val="Normal"/>
    <w:next w:val="Index1"/>
    <w:semiHidden/>
    <w:rsid w:val="001E2229"/>
    <w:pPr>
      <w:spacing w:before="120" w:after="120"/>
    </w:pPr>
    <w:rPr>
      <w:rFonts w:ascii="Arial" w:hAnsi="Arial"/>
      <w:b/>
      <w:color w:val="918585"/>
      <w:sz w:val="24"/>
    </w:rPr>
  </w:style>
  <w:style w:type="paragraph" w:styleId="Header">
    <w:name w:val="header"/>
    <w:basedOn w:val="Normal"/>
    <w:link w:val="HeaderChar"/>
    <w:rsid w:val="001E2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229"/>
    <w:rPr>
      <w:rFonts w:ascii="Times New Roman" w:eastAsia="Times New Roman" w:hAnsi="Times New Roman" w:cs="Times New Roman"/>
      <w:sz w:val="16"/>
      <w:szCs w:val="20"/>
      <w:lang w:val="en-GB" w:eastAsia="en-US"/>
    </w:rPr>
  </w:style>
  <w:style w:type="paragraph" w:customStyle="1" w:styleId="Chapter">
    <w:name w:val="Chapter"/>
    <w:basedOn w:val="Normal"/>
    <w:rsid w:val="001E2229"/>
    <w:pPr>
      <w:spacing w:before="240"/>
    </w:pPr>
    <w:rPr>
      <w:rFonts w:ascii="Times New Roman" w:hAnsi="Times New Roman"/>
      <w:smallCaps/>
      <w:spacing w:val="80"/>
      <w:sz w:val="28"/>
    </w:rPr>
  </w:style>
  <w:style w:type="paragraph" w:customStyle="1" w:styleId="InChapter">
    <w:name w:val="InChapter"/>
    <w:basedOn w:val="Heading3"/>
    <w:rsid w:val="001E2229"/>
    <w:pPr>
      <w:spacing w:after="240"/>
      <w:outlineLvl w:val="9"/>
    </w:pPr>
    <w:rPr>
      <w:noProof/>
    </w:rPr>
  </w:style>
  <w:style w:type="paragraph" w:styleId="Index2">
    <w:name w:val="index 2"/>
    <w:basedOn w:val="Normal"/>
    <w:next w:val="Normal"/>
    <w:semiHidden/>
    <w:rsid w:val="001E2229"/>
    <w:pPr>
      <w:tabs>
        <w:tab w:val="right" w:pos="4176"/>
      </w:tabs>
      <w:ind w:left="568" w:hanging="284"/>
    </w:pPr>
    <w:rPr>
      <w:rFonts w:ascii="Garamond" w:hAnsi="Garamond"/>
    </w:rPr>
  </w:style>
  <w:style w:type="paragraph" w:customStyle="1" w:styleId="Byline">
    <w:name w:val="Byline"/>
    <w:rsid w:val="001E2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229"/>
    <w:pPr>
      <w:tabs>
        <w:tab w:val="clear" w:pos="3600"/>
        <w:tab w:val="clear" w:pos="3958"/>
      </w:tabs>
      <w:jc w:val="right"/>
    </w:pPr>
  </w:style>
  <w:style w:type="character" w:styleId="Emphasis">
    <w:name w:val="Emphasis"/>
    <w:basedOn w:val="DefaultParagraphFont"/>
    <w:qFormat/>
    <w:rsid w:val="001E2229"/>
    <w:rPr>
      <w:i/>
    </w:rPr>
  </w:style>
  <w:style w:type="paragraph" w:styleId="Caption">
    <w:name w:val="caption"/>
    <w:basedOn w:val="BodyText"/>
    <w:next w:val="Normal"/>
    <w:qFormat/>
    <w:rsid w:val="001E2229"/>
    <w:pPr>
      <w:framePr w:w="2268" w:hSpace="181" w:vSpace="181" w:wrap="around" w:vAnchor="text" w:hAnchor="page" w:x="1135" w:y="285" w:anchorLock="1"/>
    </w:pPr>
    <w:rPr>
      <w:i/>
    </w:rPr>
  </w:style>
  <w:style w:type="paragraph" w:customStyle="1" w:styleId="MiniTOCTitle">
    <w:name w:val="MiniTOCTitle"/>
    <w:basedOn w:val="Heading4"/>
    <w:rsid w:val="001E2229"/>
    <w:pPr>
      <w:spacing w:before="240"/>
      <w:outlineLvl w:val="9"/>
    </w:pPr>
    <w:rPr>
      <w:noProof/>
      <w:sz w:val="24"/>
    </w:rPr>
  </w:style>
  <w:style w:type="paragraph" w:customStyle="1" w:styleId="MiniTOCItem">
    <w:name w:val="MiniTOCItem"/>
    <w:basedOn w:val="ListBullet"/>
    <w:rsid w:val="001E2229"/>
    <w:pPr>
      <w:numPr>
        <w:numId w:val="0"/>
      </w:numPr>
      <w:tabs>
        <w:tab w:val="right" w:leader="dot" w:pos="6521"/>
      </w:tabs>
      <w:spacing w:before="0" w:after="0"/>
    </w:pPr>
  </w:style>
  <w:style w:type="paragraph" w:customStyle="1" w:styleId="TOFTitle">
    <w:name w:val="TOFTitle"/>
    <w:basedOn w:val="TOCTitle"/>
    <w:rsid w:val="001E2229"/>
  </w:style>
  <w:style w:type="paragraph" w:styleId="TableofFigures">
    <w:name w:val="table of figures"/>
    <w:basedOn w:val="Normal"/>
    <w:next w:val="Normal"/>
    <w:semiHidden/>
    <w:rsid w:val="001E2229"/>
    <w:pPr>
      <w:tabs>
        <w:tab w:val="right" w:leader="dot" w:pos="9072"/>
      </w:tabs>
      <w:ind w:left="970" w:hanging="403"/>
    </w:pPr>
    <w:rPr>
      <w:rFonts w:ascii="Times New Roman" w:hAnsi="Times New Roman"/>
      <w:b/>
    </w:rPr>
  </w:style>
  <w:style w:type="paragraph" w:styleId="ListNumber">
    <w:name w:val="List Number"/>
    <w:basedOn w:val="List"/>
    <w:rsid w:val="001E2229"/>
    <w:pPr>
      <w:numPr>
        <w:numId w:val="14"/>
      </w:numPr>
      <w:tabs>
        <w:tab w:val="clear" w:pos="340"/>
      </w:tabs>
    </w:pPr>
  </w:style>
  <w:style w:type="character" w:customStyle="1" w:styleId="WingdingSymbols">
    <w:name w:val="Wingding Symbols"/>
    <w:rsid w:val="001E2229"/>
    <w:rPr>
      <w:rFonts w:ascii="Wingdings" w:hAnsi="Wingdings"/>
    </w:rPr>
  </w:style>
  <w:style w:type="paragraph" w:customStyle="1" w:styleId="TableHeading">
    <w:name w:val="Table Heading"/>
    <w:basedOn w:val="HeadingBase"/>
    <w:rsid w:val="001E2229"/>
    <w:pPr>
      <w:keepLines/>
      <w:pBdr>
        <w:bottom w:val="single" w:sz="6" w:space="1" w:color="918585"/>
      </w:pBdr>
      <w:spacing w:before="240"/>
    </w:pPr>
  </w:style>
  <w:style w:type="character" w:customStyle="1" w:styleId="HotSpot">
    <w:name w:val="HotSpot"/>
    <w:rsid w:val="001E2229"/>
    <w:rPr>
      <w:color w:val="0033CC"/>
      <w:u w:val="none"/>
    </w:rPr>
  </w:style>
  <w:style w:type="paragraph" w:customStyle="1" w:styleId="BodyTextRight">
    <w:name w:val="Body Text Right"/>
    <w:basedOn w:val="BodyText"/>
    <w:rsid w:val="001E2229"/>
    <w:pPr>
      <w:spacing w:before="0" w:after="0"/>
      <w:jc w:val="right"/>
    </w:pPr>
  </w:style>
  <w:style w:type="paragraph" w:styleId="Index3">
    <w:name w:val="index 3"/>
    <w:basedOn w:val="ListNumber2"/>
    <w:next w:val="Normal"/>
    <w:semiHidden/>
    <w:rsid w:val="001E2229"/>
    <w:pPr>
      <w:numPr>
        <w:numId w:val="0"/>
      </w:numPr>
      <w:tabs>
        <w:tab w:val="right" w:leader="dot" w:pos="4176"/>
      </w:tabs>
    </w:pPr>
  </w:style>
  <w:style w:type="paragraph" w:styleId="ListNumber2">
    <w:name w:val="List Number 2"/>
    <w:basedOn w:val="List2"/>
    <w:rsid w:val="001E2229"/>
    <w:pPr>
      <w:numPr>
        <w:numId w:val="9"/>
      </w:numPr>
      <w:tabs>
        <w:tab w:val="clear" w:pos="1060"/>
      </w:tabs>
    </w:pPr>
  </w:style>
  <w:style w:type="paragraph" w:customStyle="1" w:styleId="MarginNote">
    <w:name w:val="Margin Note"/>
    <w:basedOn w:val="BodyText"/>
    <w:rsid w:val="001E2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2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229"/>
    <w:rPr>
      <w:sz w:val="32"/>
    </w:rPr>
  </w:style>
  <w:style w:type="paragraph" w:customStyle="1" w:styleId="HeadingProcedure">
    <w:name w:val="Heading Procedure"/>
    <w:basedOn w:val="HeadingBase"/>
    <w:next w:val="Normal"/>
    <w:rsid w:val="001E2229"/>
    <w:pPr>
      <w:tabs>
        <w:tab w:val="left" w:pos="0"/>
      </w:tabs>
      <w:spacing w:before="120" w:after="60"/>
    </w:pPr>
    <w:rPr>
      <w:i/>
      <w:color w:val="918585"/>
      <w:sz w:val="22"/>
    </w:rPr>
  </w:style>
  <w:style w:type="paragraph" w:customStyle="1" w:styleId="TableBodyText">
    <w:name w:val="Table Body Text"/>
    <w:basedOn w:val="BodyText"/>
    <w:rsid w:val="001E2229"/>
    <w:pPr>
      <w:spacing w:before="60" w:after="60"/>
    </w:pPr>
  </w:style>
  <w:style w:type="paragraph" w:styleId="ListContinue">
    <w:name w:val="List Continue"/>
    <w:basedOn w:val="List"/>
    <w:rsid w:val="001E2229"/>
    <w:pPr>
      <w:ind w:firstLine="0"/>
    </w:pPr>
  </w:style>
  <w:style w:type="paragraph" w:customStyle="1" w:styleId="ListNote">
    <w:name w:val="List Note"/>
    <w:basedOn w:val="List"/>
    <w:rsid w:val="001E2229"/>
    <w:pPr>
      <w:pBdr>
        <w:top w:val="single" w:sz="6" w:space="2" w:color="918585"/>
        <w:bottom w:val="single" w:sz="6" w:space="2" w:color="918585"/>
      </w:pBdr>
      <w:tabs>
        <w:tab w:val="left" w:pos="1021"/>
      </w:tabs>
      <w:ind w:firstLine="0"/>
    </w:pPr>
  </w:style>
  <w:style w:type="paragraph" w:customStyle="1" w:styleId="Warning">
    <w:name w:val="Warning"/>
    <w:basedOn w:val="BodyText"/>
    <w:rsid w:val="001E2229"/>
    <w:pPr>
      <w:shd w:val="clear" w:color="auto" w:fill="D9D9D9"/>
      <w:tabs>
        <w:tab w:val="left" w:pos="992"/>
      </w:tabs>
      <w:ind w:left="119" w:right="119"/>
    </w:pPr>
    <w:rPr>
      <w:sz w:val="20"/>
    </w:rPr>
  </w:style>
  <w:style w:type="paragraph" w:customStyle="1" w:styleId="MarginIcons">
    <w:name w:val="Margin Icons"/>
    <w:basedOn w:val="BodyText"/>
    <w:rsid w:val="001E2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229"/>
    <w:rPr>
      <w:rFonts w:ascii="Courier New" w:hAnsi="Courier New"/>
    </w:rPr>
  </w:style>
  <w:style w:type="paragraph" w:customStyle="1" w:styleId="NoteBullet">
    <w:name w:val="Note Bullet"/>
    <w:basedOn w:val="Note"/>
    <w:rsid w:val="001E2229"/>
    <w:pPr>
      <w:tabs>
        <w:tab w:val="clear" w:pos="680"/>
      </w:tabs>
      <w:spacing w:before="60" w:after="60"/>
    </w:pPr>
  </w:style>
  <w:style w:type="paragraph" w:customStyle="1" w:styleId="SubHeading2">
    <w:name w:val="SubHeading2"/>
    <w:basedOn w:val="HeadingBase"/>
    <w:rsid w:val="001E2229"/>
    <w:pPr>
      <w:spacing w:before="240" w:after="60"/>
    </w:pPr>
    <w:rPr>
      <w:sz w:val="20"/>
    </w:rPr>
  </w:style>
  <w:style w:type="paragraph" w:customStyle="1" w:styleId="SubHeading1">
    <w:name w:val="SubHeading1"/>
    <w:basedOn w:val="HeadingBase"/>
    <w:rsid w:val="001E2229"/>
    <w:pPr>
      <w:spacing w:before="240" w:after="60"/>
    </w:pPr>
    <w:rPr>
      <w:color w:val="918585"/>
      <w:sz w:val="22"/>
    </w:rPr>
  </w:style>
  <w:style w:type="paragraph" w:customStyle="1" w:styleId="SideHeading">
    <w:name w:val="Side Heading"/>
    <w:basedOn w:val="HeadingBase"/>
    <w:rsid w:val="001E2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229"/>
    <w:pPr>
      <w:numPr>
        <w:numId w:val="10"/>
      </w:numPr>
    </w:pPr>
  </w:style>
  <w:style w:type="paragraph" w:styleId="PlainText">
    <w:name w:val="Plain Text"/>
    <w:basedOn w:val="Normal"/>
    <w:link w:val="PlainTextChar"/>
    <w:rsid w:val="001E2229"/>
    <w:rPr>
      <w:sz w:val="20"/>
    </w:rPr>
  </w:style>
  <w:style w:type="character" w:customStyle="1" w:styleId="PlainTextChar">
    <w:name w:val="Plain Text Char"/>
    <w:basedOn w:val="DefaultParagraphFont"/>
    <w:link w:val="PlainText"/>
    <w:rsid w:val="001E2229"/>
    <w:rPr>
      <w:rFonts w:ascii="Courier New" w:eastAsia="Times New Roman" w:hAnsi="Courier New" w:cs="Times New Roman"/>
      <w:sz w:val="20"/>
      <w:szCs w:val="20"/>
      <w:lang w:eastAsia="en-US"/>
    </w:rPr>
  </w:style>
  <w:style w:type="character" w:customStyle="1" w:styleId="MenuOption">
    <w:name w:val="Menu Option"/>
    <w:basedOn w:val="DefaultParagraphFont"/>
    <w:rsid w:val="001E2229"/>
    <w:rPr>
      <w:b/>
      <w:smallCaps/>
    </w:rPr>
  </w:style>
  <w:style w:type="paragraph" w:customStyle="1" w:styleId="TableListNumber">
    <w:name w:val="Table List Number"/>
    <w:basedOn w:val="ListNumber"/>
    <w:rsid w:val="001E2229"/>
    <w:pPr>
      <w:numPr>
        <w:numId w:val="0"/>
      </w:numPr>
    </w:pPr>
  </w:style>
  <w:style w:type="paragraph" w:styleId="TOC4">
    <w:name w:val="toc 4"/>
    <w:basedOn w:val="TOCBase"/>
    <w:next w:val="Normal"/>
    <w:semiHidden/>
    <w:rsid w:val="001E2229"/>
    <w:pPr>
      <w:tabs>
        <w:tab w:val="right" w:leader="dot" w:pos="9071"/>
      </w:tabs>
      <w:ind w:left="1701"/>
    </w:pPr>
  </w:style>
  <w:style w:type="paragraph" w:customStyle="1" w:styleId="ListAlpha">
    <w:name w:val="List Alpha"/>
    <w:basedOn w:val="List"/>
    <w:rsid w:val="001E2229"/>
    <w:pPr>
      <w:numPr>
        <w:numId w:val="8"/>
      </w:numPr>
    </w:pPr>
  </w:style>
  <w:style w:type="paragraph" w:customStyle="1" w:styleId="ListAlpha2">
    <w:name w:val="List Alpha 2"/>
    <w:basedOn w:val="List2"/>
    <w:rsid w:val="001E2229"/>
    <w:pPr>
      <w:numPr>
        <w:numId w:val="7"/>
      </w:numPr>
    </w:pPr>
  </w:style>
  <w:style w:type="paragraph" w:styleId="List2">
    <w:name w:val="List 2"/>
    <w:basedOn w:val="BodyText"/>
    <w:rsid w:val="001E2229"/>
    <w:pPr>
      <w:tabs>
        <w:tab w:val="left" w:pos="680"/>
      </w:tabs>
      <w:spacing w:before="60" w:after="60"/>
      <w:ind w:left="680" w:hanging="340"/>
    </w:pPr>
  </w:style>
  <w:style w:type="paragraph" w:styleId="List3">
    <w:name w:val="List 3"/>
    <w:basedOn w:val="BodyText"/>
    <w:rsid w:val="001E2229"/>
    <w:pPr>
      <w:tabs>
        <w:tab w:val="left" w:pos="1021"/>
      </w:tabs>
      <w:spacing w:before="60" w:after="60"/>
      <w:ind w:left="1020" w:hanging="340"/>
    </w:pPr>
  </w:style>
  <w:style w:type="paragraph" w:styleId="List4">
    <w:name w:val="List 4"/>
    <w:basedOn w:val="BodyText"/>
    <w:rsid w:val="001E2229"/>
    <w:pPr>
      <w:tabs>
        <w:tab w:val="left" w:pos="1361"/>
      </w:tabs>
      <w:spacing w:before="60" w:after="60"/>
      <w:ind w:left="1361" w:hanging="340"/>
    </w:pPr>
  </w:style>
  <w:style w:type="paragraph" w:styleId="List5">
    <w:name w:val="List 5"/>
    <w:basedOn w:val="BodyText"/>
    <w:rsid w:val="001E2229"/>
    <w:pPr>
      <w:tabs>
        <w:tab w:val="left" w:pos="1701"/>
      </w:tabs>
      <w:spacing w:before="60" w:after="60"/>
      <w:ind w:left="1701" w:hanging="340"/>
    </w:pPr>
  </w:style>
  <w:style w:type="paragraph" w:styleId="ListBullet3">
    <w:name w:val="List Bullet 3"/>
    <w:basedOn w:val="List3"/>
    <w:rsid w:val="001E2229"/>
    <w:pPr>
      <w:numPr>
        <w:numId w:val="13"/>
      </w:numPr>
      <w:tabs>
        <w:tab w:val="clear" w:pos="1021"/>
      </w:tabs>
      <w:ind w:left="1037" w:hanging="357"/>
    </w:pPr>
  </w:style>
  <w:style w:type="paragraph" w:styleId="ListBullet4">
    <w:name w:val="List Bullet 4"/>
    <w:basedOn w:val="List4"/>
    <w:rsid w:val="001E2229"/>
    <w:pPr>
      <w:numPr>
        <w:numId w:val="2"/>
      </w:numPr>
      <w:tabs>
        <w:tab w:val="clear" w:pos="1361"/>
      </w:tabs>
    </w:pPr>
  </w:style>
  <w:style w:type="paragraph" w:styleId="ListBullet5">
    <w:name w:val="List Bullet 5"/>
    <w:basedOn w:val="List5"/>
    <w:rsid w:val="001E2229"/>
    <w:pPr>
      <w:numPr>
        <w:numId w:val="3"/>
      </w:numPr>
    </w:pPr>
  </w:style>
  <w:style w:type="paragraph" w:styleId="ListContinue2">
    <w:name w:val="List Continue 2"/>
    <w:basedOn w:val="List2"/>
    <w:rsid w:val="001E2229"/>
    <w:pPr>
      <w:ind w:firstLine="0"/>
    </w:pPr>
  </w:style>
  <w:style w:type="paragraph" w:styleId="ListContinue3">
    <w:name w:val="List Continue 3"/>
    <w:basedOn w:val="List3"/>
    <w:rsid w:val="001E2229"/>
    <w:pPr>
      <w:ind w:left="1021" w:firstLine="0"/>
    </w:pPr>
  </w:style>
  <w:style w:type="paragraph" w:styleId="ListContinue4">
    <w:name w:val="List Continue 4"/>
    <w:basedOn w:val="List4"/>
    <w:rsid w:val="001E2229"/>
    <w:pPr>
      <w:ind w:firstLine="0"/>
    </w:pPr>
  </w:style>
  <w:style w:type="paragraph" w:styleId="ListContinue5">
    <w:name w:val="List Continue 5"/>
    <w:basedOn w:val="List5"/>
    <w:rsid w:val="001E2229"/>
    <w:pPr>
      <w:ind w:firstLine="0"/>
    </w:pPr>
  </w:style>
  <w:style w:type="paragraph" w:styleId="ListNumber3">
    <w:name w:val="List Number 3"/>
    <w:basedOn w:val="List3"/>
    <w:rsid w:val="001E2229"/>
    <w:pPr>
      <w:numPr>
        <w:numId w:val="4"/>
      </w:numPr>
    </w:pPr>
  </w:style>
  <w:style w:type="paragraph" w:styleId="ListNumber4">
    <w:name w:val="List Number 4"/>
    <w:basedOn w:val="List4"/>
    <w:rsid w:val="001E2229"/>
    <w:pPr>
      <w:numPr>
        <w:numId w:val="5"/>
      </w:numPr>
    </w:pPr>
  </w:style>
  <w:style w:type="paragraph" w:styleId="ListNumber5">
    <w:name w:val="List Number 5"/>
    <w:basedOn w:val="List5"/>
    <w:rsid w:val="001E2229"/>
    <w:pPr>
      <w:numPr>
        <w:numId w:val="6"/>
      </w:numPr>
    </w:pPr>
  </w:style>
  <w:style w:type="paragraph" w:styleId="BlockText">
    <w:name w:val="Block Text"/>
    <w:basedOn w:val="Normal"/>
    <w:rsid w:val="001E2229"/>
    <w:pPr>
      <w:spacing w:after="120"/>
      <w:ind w:left="1440" w:right="1440"/>
    </w:pPr>
  </w:style>
  <w:style w:type="character" w:customStyle="1" w:styleId="Subscript">
    <w:name w:val="Subscript"/>
    <w:basedOn w:val="DefaultParagraphFont"/>
    <w:rsid w:val="001E2229"/>
    <w:rPr>
      <w:sz w:val="16"/>
      <w:vertAlign w:val="subscript"/>
    </w:rPr>
  </w:style>
  <w:style w:type="character" w:customStyle="1" w:styleId="Superscript">
    <w:name w:val="Superscript"/>
    <w:basedOn w:val="DefaultParagraphFont"/>
    <w:rsid w:val="001E2229"/>
    <w:rPr>
      <w:sz w:val="16"/>
      <w:vertAlign w:val="superscript"/>
    </w:rPr>
  </w:style>
  <w:style w:type="character" w:customStyle="1" w:styleId="Symbols">
    <w:name w:val="Symbols"/>
    <w:basedOn w:val="DefaultParagraphFont"/>
    <w:rsid w:val="001E2229"/>
    <w:rPr>
      <w:rFonts w:ascii="Symbol" w:hAnsi="Symbol"/>
    </w:rPr>
  </w:style>
  <w:style w:type="character" w:customStyle="1" w:styleId="MenuOptions">
    <w:name w:val="Menu Options"/>
    <w:basedOn w:val="DefaultParagraphFont"/>
    <w:rsid w:val="001E2229"/>
    <w:rPr>
      <w:rFonts w:ascii="Arial Narrow" w:hAnsi="Arial Narrow"/>
      <w:smallCaps/>
    </w:rPr>
  </w:style>
  <w:style w:type="character" w:customStyle="1" w:styleId="Buttons">
    <w:name w:val="Buttons"/>
    <w:basedOn w:val="DefaultParagraphFont"/>
    <w:rsid w:val="001E2229"/>
    <w:rPr>
      <w:b/>
    </w:rPr>
  </w:style>
  <w:style w:type="character" w:customStyle="1" w:styleId="Underlined">
    <w:name w:val="Underlined"/>
    <w:basedOn w:val="DefaultParagraphFont"/>
    <w:rsid w:val="001E2229"/>
    <w:rPr>
      <w:u w:val="single"/>
    </w:rPr>
  </w:style>
  <w:style w:type="paragraph" w:customStyle="1" w:styleId="TableBodyTextRight">
    <w:name w:val="Table Body Text Right"/>
    <w:basedOn w:val="TableBodyText"/>
    <w:rsid w:val="001E2229"/>
    <w:pPr>
      <w:widowControl w:val="0"/>
      <w:autoSpaceDE w:val="0"/>
      <w:autoSpaceDN w:val="0"/>
      <w:adjustRightInd w:val="0"/>
      <w:jc w:val="right"/>
    </w:pPr>
    <w:rPr>
      <w:rFonts w:cs="Arial"/>
      <w:szCs w:val="18"/>
    </w:rPr>
  </w:style>
  <w:style w:type="paragraph" w:customStyle="1" w:styleId="CopyrightText">
    <w:name w:val="Copyright Text"/>
    <w:basedOn w:val="BodyText"/>
    <w:rsid w:val="001E2229"/>
    <w:rPr>
      <w:sz w:val="18"/>
    </w:rPr>
  </w:style>
  <w:style w:type="paragraph" w:customStyle="1" w:styleId="BodySmallRight">
    <w:name w:val="Body Small Right"/>
    <w:basedOn w:val="BodyTextRight"/>
    <w:rsid w:val="001E2229"/>
    <w:rPr>
      <w:sz w:val="18"/>
      <w:szCs w:val="18"/>
    </w:rPr>
  </w:style>
  <w:style w:type="paragraph" w:customStyle="1" w:styleId="MarginEdition">
    <w:name w:val="Margin Edition"/>
    <w:basedOn w:val="MarginNote"/>
    <w:rsid w:val="001E2229"/>
    <w:pPr>
      <w:spacing w:before="0" w:after="0"/>
    </w:pPr>
    <w:rPr>
      <w:rFonts w:ascii="Times New Roman" w:hAnsi="Times New Roman"/>
      <w:color w:val="999999"/>
    </w:rPr>
  </w:style>
  <w:style w:type="paragraph" w:customStyle="1" w:styleId="Spacer">
    <w:name w:val="Spacer"/>
    <w:basedOn w:val="Normal"/>
    <w:rsid w:val="001E2229"/>
    <w:rPr>
      <w:sz w:val="2"/>
      <w:szCs w:val="2"/>
    </w:rPr>
  </w:style>
  <w:style w:type="character" w:customStyle="1" w:styleId="Small">
    <w:name w:val="Small"/>
    <w:basedOn w:val="DefaultParagraphFont"/>
    <w:rsid w:val="001E2229"/>
    <w:rPr>
      <w:sz w:val="16"/>
    </w:rPr>
  </w:style>
  <w:style w:type="paragraph" w:customStyle="1" w:styleId="WideTable">
    <w:name w:val="Wide Table"/>
    <w:basedOn w:val="Normal"/>
    <w:rsid w:val="001E2229"/>
    <w:pPr>
      <w:ind w:left="-1418"/>
    </w:pPr>
    <w:rPr>
      <w:sz w:val="2"/>
      <w:szCs w:val="2"/>
    </w:rPr>
  </w:style>
  <w:style w:type="character" w:styleId="PageNumber">
    <w:name w:val="page number"/>
    <w:basedOn w:val="DefaultParagraphFont"/>
    <w:rsid w:val="001E2229"/>
  </w:style>
  <w:style w:type="paragraph" w:styleId="Quote">
    <w:name w:val="Quote"/>
    <w:basedOn w:val="Heading1"/>
    <w:link w:val="QuoteChar"/>
    <w:qFormat/>
    <w:rsid w:val="001E2229"/>
    <w:rPr>
      <w:b w:val="0"/>
      <w:sz w:val="72"/>
      <w:szCs w:val="72"/>
      <w:lang w:val="en-NZ"/>
    </w:rPr>
  </w:style>
  <w:style w:type="character" w:customStyle="1" w:styleId="QuoteChar">
    <w:name w:val="Quote Char"/>
    <w:basedOn w:val="DefaultParagraphFont"/>
    <w:link w:val="Quote"/>
    <w:rsid w:val="001E2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229"/>
    <w:pPr>
      <w:pageBreakBefore/>
    </w:pPr>
  </w:style>
  <w:style w:type="paragraph" w:customStyle="1" w:styleId="Border">
    <w:name w:val="Border"/>
    <w:basedOn w:val="Normal"/>
    <w:qFormat/>
    <w:rsid w:val="001E2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229"/>
    <w:rPr>
      <w:b/>
      <w:bCs/>
      <w:i/>
      <w:iCs/>
      <w:color w:val="auto"/>
    </w:rPr>
  </w:style>
  <w:style w:type="paragraph" w:styleId="IntenseQuote">
    <w:name w:val="Intense Quote"/>
    <w:basedOn w:val="Normal"/>
    <w:next w:val="Normal"/>
    <w:link w:val="IntenseQuoteChar"/>
    <w:uiPriority w:val="30"/>
    <w:qFormat/>
    <w:rsid w:val="001E2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2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229"/>
    <w:rPr>
      <w:smallCaps/>
      <w:color w:val="auto"/>
      <w:u w:val="single"/>
    </w:rPr>
  </w:style>
  <w:style w:type="character" w:styleId="IntenseReference">
    <w:name w:val="Intense Reference"/>
    <w:basedOn w:val="DefaultParagraphFont"/>
    <w:uiPriority w:val="32"/>
    <w:qFormat/>
    <w:rsid w:val="001E2229"/>
    <w:rPr>
      <w:b/>
      <w:bCs/>
      <w:smallCaps/>
      <w:color w:val="auto"/>
      <w:spacing w:val="5"/>
      <w:u w:val="single"/>
    </w:rPr>
  </w:style>
  <w:style w:type="paragraph" w:customStyle="1" w:styleId="2ColumnHeading">
    <w:name w:val="2Column Heading"/>
    <w:basedOn w:val="BodyText"/>
    <w:qFormat/>
    <w:rsid w:val="001E2229"/>
    <w:pPr>
      <w:spacing w:after="60"/>
      <w:ind w:left="-2268"/>
    </w:pPr>
    <w:rPr>
      <w:b/>
    </w:rPr>
  </w:style>
  <w:style w:type="paragraph" w:customStyle="1" w:styleId="Heading1TOC">
    <w:name w:val="Heading1 TOC"/>
    <w:basedOn w:val="Normal"/>
    <w:qFormat/>
    <w:rsid w:val="001E2229"/>
    <w:pPr>
      <w:spacing w:before="240" w:after="120"/>
    </w:pPr>
    <w:rPr>
      <w:rFonts w:ascii="Times New Roman" w:hAnsi="Times New Roman"/>
      <w:b/>
      <w:sz w:val="32"/>
    </w:rPr>
  </w:style>
  <w:style w:type="paragraph" w:customStyle="1" w:styleId="Heading2TOC">
    <w:name w:val="Heading2 TOC"/>
    <w:basedOn w:val="Normal"/>
    <w:qFormat/>
    <w:rsid w:val="001E2229"/>
    <w:pPr>
      <w:spacing w:before="240" w:after="60"/>
    </w:pPr>
    <w:rPr>
      <w:rFonts w:ascii="Times New Roman" w:hAnsi="Times New Roman"/>
      <w:b/>
      <w:sz w:val="28"/>
    </w:rPr>
  </w:style>
  <w:style w:type="character" w:customStyle="1" w:styleId="Underline">
    <w:name w:val="Underline"/>
    <w:basedOn w:val="DefaultParagraphFont"/>
    <w:qFormat/>
    <w:rsid w:val="001E2229"/>
    <w:rPr>
      <w:u w:val="single"/>
    </w:rPr>
  </w:style>
  <w:style w:type="character" w:customStyle="1" w:styleId="BoldandItalics">
    <w:name w:val="Bold and Italics"/>
    <w:qFormat/>
    <w:rsid w:val="001E2229"/>
    <w:rPr>
      <w:b/>
      <w:i/>
      <w:u w:val="none"/>
    </w:rPr>
  </w:style>
  <w:style w:type="paragraph" w:styleId="BalloonText">
    <w:name w:val="Balloon Text"/>
    <w:basedOn w:val="Normal"/>
    <w:link w:val="BalloonTextChar"/>
    <w:rsid w:val="001E2229"/>
    <w:rPr>
      <w:rFonts w:ascii="Tahoma" w:hAnsi="Tahoma" w:cs="Tahoma"/>
      <w:sz w:val="16"/>
      <w:szCs w:val="16"/>
    </w:rPr>
  </w:style>
  <w:style w:type="character" w:customStyle="1" w:styleId="BalloonTextChar">
    <w:name w:val="Balloon Text Char"/>
    <w:basedOn w:val="DefaultParagraphFont"/>
    <w:link w:val="BalloonText"/>
    <w:rsid w:val="001E22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2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2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229"/>
    <w:rPr>
      <w:b/>
      <w:color w:val="660033"/>
      <w:spacing w:val="0"/>
    </w:rPr>
  </w:style>
  <w:style w:type="paragraph" w:customStyle="1" w:styleId="Nameditemlist">
    <w:name w:val="Named item list"/>
    <w:basedOn w:val="BodyText"/>
    <w:qFormat/>
    <w:rsid w:val="001E2229"/>
    <w:pPr>
      <w:tabs>
        <w:tab w:val="left" w:pos="2835"/>
      </w:tabs>
      <w:ind w:left="2835" w:hanging="2835"/>
    </w:pPr>
  </w:style>
  <w:style w:type="paragraph" w:customStyle="1" w:styleId="BodyTextnopadding">
    <w:name w:val="Body Text no padding"/>
    <w:basedOn w:val="BodyText"/>
    <w:qFormat/>
    <w:rsid w:val="001E2229"/>
    <w:pPr>
      <w:spacing w:before="0" w:after="0"/>
    </w:pPr>
  </w:style>
  <w:style w:type="paragraph" w:customStyle="1" w:styleId="BodyTextBold">
    <w:name w:val="Body Text Bold"/>
    <w:basedOn w:val="BodyText"/>
    <w:qFormat/>
    <w:rsid w:val="001E2229"/>
    <w:rPr>
      <w:b/>
    </w:rPr>
  </w:style>
  <w:style w:type="character" w:styleId="Hyperlink">
    <w:name w:val="Hyperlink"/>
    <w:basedOn w:val="DefaultParagraphFont"/>
    <w:uiPriority w:val="99"/>
    <w:unhideWhenUsed/>
    <w:rsid w:val="002B44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Words>
  <Characters>5152</Characters>
  <Application>Microsoft Office Word</Application>
  <DocSecurity>0</DocSecurity>
  <Lines>190</Lines>
  <Paragraphs>87</Paragraphs>
  <ScaleCrop>false</ScaleCrop>
  <Company>Author-it Software Corporation Ltd.</Company>
  <LinksUpToDate>false</LinksUpToDate>
  <CharactersWithSpaces>5841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UEEHA0021 Design explosion-protected electrical systems and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