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99D" w:rsidP="00F34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UEEHA0019 Conduct a conformity assessment review of explosion-protected equipment</w:t>
      </w:r>
      <w:r>
        <w:fldChar w:fldCharType="end"/>
      </w:r>
    </w:p>
    <w:p w:rsidR="00F3499D" w:rsidP="00F3499D">
      <w:pPr>
        <w:pStyle w:val="Version"/>
        <w:sectPr w:rsidSect="007630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084" w:rsidP="00763084">
      <w:pPr>
        <w:pStyle w:val="SuperHeading"/>
      </w:pPr>
      <w:r w:rsidRPr="00763084">
        <w:t>UEEHA0019 Conduct a conformity assessment review of explosion-protected equipment</w:t>
      </w:r>
    </w:p>
    <w:p w:rsidR="00000000" w:rsidRPr="00763084" w:rsidP="00763084">
      <w:pPr>
        <w:pStyle w:val="Heading1"/>
      </w:pPr>
      <w:bookmarkStart w:id="1" w:name="O_1242802"/>
      <w:bookmarkEnd w:id="1"/>
      <w:r w:rsidRPr="007630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t>Release 1. This is the first release of this unit of competency in the Electrotechnology Training Package.</w:t>
            </w:r>
          </w:p>
        </w:tc>
      </w:tr>
    </w:tbl>
    <w:p w:rsidR="00000000" w:rsidRPr="00763084" w:rsidP="00763084">
      <w:pPr>
        <w:pStyle w:val="NoPaddingFontSize1"/>
      </w:pPr>
    </w:p>
    <w:p w:rsidR="00000000" w:rsidRPr="00763084" w:rsidP="00763084">
      <w:pPr>
        <w:pStyle w:val="AllowPageBreak"/>
      </w:pPr>
    </w:p>
    <w:p w:rsidR="00000000" w:rsidRPr="00763084" w:rsidP="00763084">
      <w:pPr>
        <w:pStyle w:val="Heading1"/>
      </w:pPr>
      <w:bookmarkStart w:id="2" w:name="O_1242803"/>
      <w:bookmarkEnd w:id="2"/>
      <w:r w:rsidRPr="0076308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t>This unit involves the skills and knowledge required to assess for conformity single items of explosion-protected equipment or systems, or packaged explosion-protected equipment that has certification documentation however, not covered under in</w:t>
            </w:r>
            <w:r w:rsidRPr="00763084">
              <w:t>dustry certification schemes or AS/NZS Standards.</w:t>
            </w:r>
          </w:p>
          <w:p w:rsidR="00000000" w:rsidRPr="00763084" w:rsidP="00763084">
            <w:pPr>
              <w:pStyle w:val="BodyText"/>
            </w:pPr>
            <w:r w:rsidRPr="00763084">
              <w:t>It includes: examining, comparing and documenting explosion-protection methods and related protection types; evaluating the certification issued for a single item or system, or packages of explosion- protec</w:t>
            </w:r>
            <w:r w:rsidRPr="00763084">
              <w:t xml:space="preserve">ted equipment against certification requirements for another country/region; and writing a conformity assessment document. </w:t>
            </w:r>
          </w:p>
          <w:p w:rsidR="00000000" w:rsidRPr="00763084" w:rsidP="00763084">
            <w:pPr>
              <w:pStyle w:val="BodyText"/>
            </w:pPr>
            <w:r w:rsidRPr="00763084">
              <w:t>This unit applies to personnel involved in engineering functions or maintenance (end users) when considering the selection, installa</w:t>
            </w:r>
            <w:r w:rsidRPr="00763084">
              <w:t>tion and maintaining of equipment, packages and systems during a facility life cycle.</w:t>
            </w:r>
          </w:p>
          <w:p w:rsidR="00000000" w:rsidRPr="00763084" w:rsidP="00763084">
            <w:pPr>
              <w:pStyle w:val="BodyText"/>
            </w:pPr>
            <w:r w:rsidRPr="00763084">
              <w:t>Site-specific work permits may be required to work in the hazardous environment. In addition, other permits may be required, such as confined space and to operate specifi</w:t>
            </w:r>
            <w:r w:rsidRPr="00763084">
              <w:t>c pieces of equipment such as elevated work platforms in various jurisdictions.</w:t>
            </w:r>
          </w:p>
          <w:p w:rsidR="00000000" w:rsidRPr="00763084" w:rsidP="00763084">
            <w:pPr>
              <w:pStyle w:val="BodyText"/>
            </w:pPr>
            <w:r w:rsidRPr="00763084">
              <w:t>Additional and/or other conditions may apply in some jurisdictions subject to regulations related to electrical work. Practice in the workplace and during training is also subj</w:t>
            </w:r>
            <w:r w:rsidRPr="00763084">
              <w:t>ect to work health and safety (WHS)/occupational health and safety (OHS) regulations.</w:t>
            </w:r>
          </w:p>
          <w:p w:rsidR="00000000" w:rsidRPr="00763084" w:rsidP="00763084">
            <w:pPr>
              <w:pStyle w:val="BodyText"/>
            </w:pPr>
            <w:r w:rsidRPr="00763084">
              <w:t>This unit of competency and associated assessment requirements is adopted from clause 2.11 of AS/NZS 4761.1:2018 Competencies for working with electrical equipment for ha</w:t>
            </w:r>
            <w:r w:rsidRPr="00763084">
              <w:t>zardous areas (EEHA). There may be differences between the content of this unit and AS/NZS 4761.1:2018, so the Standard must be checked to ensure compliance with it. Clause 2.11 of AS/NZS 4761.1:2018 also includes the following precondition for assessment:</w:t>
            </w:r>
          </w:p>
          <w:p w:rsidR="00000000" w:rsidRPr="00763084" w:rsidP="00763084">
            <w:pPr>
              <w:pStyle w:val="ListBullet"/>
            </w:pPr>
            <w:r>
              <w:t>“</w:t>
            </w:r>
            <w:r w:rsidRPr="00763084">
              <w:t>A candidate seeking assessment in this unit shall have been deemed competent to assess electrical/electronic equipment and perform general technical evaluation at AQF level 7 or NZQF level 7 Bachelor Degree (BD) or equivalent.</w:t>
            </w:r>
            <w:r>
              <w:t>”</w:t>
            </w:r>
          </w:p>
        </w:tc>
      </w:tr>
    </w:tbl>
    <w:p w:rsidR="00000000" w:rsidRPr="00763084" w:rsidP="00763084">
      <w:pPr>
        <w:pStyle w:val="NoPaddingFontSize1"/>
      </w:pPr>
    </w:p>
    <w:p w:rsidR="00000000" w:rsidRPr="00763084" w:rsidP="00763084">
      <w:pPr>
        <w:pStyle w:val="AllowPageBreak"/>
      </w:pPr>
    </w:p>
    <w:p w:rsidR="00000000" w:rsidRPr="00763084" w:rsidP="00763084">
      <w:pPr>
        <w:pStyle w:val="Heading1"/>
      </w:pPr>
      <w:bookmarkStart w:id="3" w:name="O_1242804"/>
      <w:bookmarkEnd w:id="3"/>
      <w:r w:rsidRPr="0076308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t>UEEHA0020 Conduct detailed inspection of electrical installations for hazardous areas</w:t>
            </w:r>
          </w:p>
        </w:tc>
      </w:tr>
    </w:tbl>
    <w:p w:rsidR="00000000" w:rsidRPr="00763084" w:rsidP="00763084">
      <w:pPr>
        <w:pStyle w:val="NoPaddingFontSize1"/>
      </w:pPr>
    </w:p>
    <w:p w:rsidR="00000000" w:rsidRPr="00763084" w:rsidP="00763084">
      <w:pPr>
        <w:pStyle w:val="AllowPageBreak"/>
      </w:pPr>
    </w:p>
    <w:p w:rsidR="00000000" w:rsidRPr="00763084" w:rsidP="00763084">
      <w:pPr>
        <w:pStyle w:val="Heading1"/>
      </w:pPr>
      <w:bookmarkStart w:id="4" w:name="O_1242805"/>
      <w:bookmarkEnd w:id="4"/>
      <w:r w:rsidRPr="0076308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t>Hazards</w:t>
            </w:r>
          </w:p>
        </w:tc>
      </w:tr>
    </w:tbl>
    <w:p w:rsidR="00000000" w:rsidRPr="00763084" w:rsidP="00763084">
      <w:pPr>
        <w:pStyle w:val="NoPaddingFontSize1"/>
      </w:pPr>
    </w:p>
    <w:p w:rsidR="00000000" w:rsidRPr="00763084" w:rsidP="00763084">
      <w:pPr>
        <w:pStyle w:val="AllowPageBreak"/>
      </w:pPr>
    </w:p>
    <w:p w:rsidR="00000000" w:rsidRPr="00763084" w:rsidP="00763084">
      <w:pPr>
        <w:pStyle w:val="Heading1"/>
      </w:pPr>
      <w:bookmarkStart w:id="5" w:name="O_1242806"/>
      <w:bookmarkEnd w:id="5"/>
      <w:r w:rsidRPr="0076308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t>Electrotechnology</w:t>
            </w:r>
          </w:p>
        </w:tc>
      </w:tr>
    </w:tbl>
    <w:p w:rsidR="00000000" w:rsidRPr="00763084" w:rsidP="00763084">
      <w:pPr>
        <w:pStyle w:val="NoPaddingFontSize1"/>
      </w:pPr>
    </w:p>
    <w:p w:rsidR="00000000" w:rsidRPr="00763084" w:rsidP="00763084">
      <w:pPr>
        <w:pStyle w:val="AllowPageBreak"/>
      </w:pPr>
    </w:p>
    <w:p w:rsidR="00000000" w:rsidRPr="00763084" w:rsidP="00763084">
      <w:pPr>
        <w:pStyle w:val="Heading1"/>
      </w:pPr>
      <w:bookmarkStart w:id="6" w:name="O_1242807"/>
      <w:bookmarkEnd w:id="6"/>
      <w:r w:rsidRPr="0076308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rPr>
                <w:rStyle w:val="SpecialBold"/>
              </w:rPr>
              <w:t>PERFORMANCE CRITERIA</w:t>
            </w:r>
          </w:p>
        </w:tc>
      </w:tr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t>Performance criteria describe the performance needed to demonstrate achievement of the element.</w:t>
            </w:r>
          </w:p>
        </w:tc>
      </w:tr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rPr>
                <w:rStyle w:val="SpecialBold"/>
              </w:rPr>
              <w:t xml:space="preserve">1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rPr>
                <w:rStyle w:val="SpecialBold"/>
              </w:rPr>
              <w:t>Prepare to conduct conformity assessment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t>Criteria on which the equipment subject to assessment was certified is determined from the original certification documents</w:t>
            </w:r>
          </w:p>
        </w:tc>
      </w:tr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t>Standards against which conformity is to be assessed are obtained and relevant clauses identified and reviewed</w:t>
            </w:r>
          </w:p>
        </w:tc>
      </w:tr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t>Equipment details are obtained to assess relevance of clauses in standards against which conformity is to be assessed</w:t>
            </w:r>
          </w:p>
        </w:tc>
      </w:tr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t>Understanding of certification processes and the requirements for validation of certification documents and manufacturing quality c</w:t>
            </w:r>
            <w:r w:rsidRPr="00763084">
              <w:t>ontrols is applied</w:t>
            </w:r>
          </w:p>
        </w:tc>
      </w:tr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t>Safety procedures for site inspections are followed where equipment subject to the conformity assessment is installed in an operating plant</w:t>
            </w:r>
          </w:p>
        </w:tc>
      </w:tr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rPr>
                <w:rStyle w:val="SpecialBold"/>
              </w:rPr>
              <w:t>Conduct conformity assessment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t>Conformity assessment is carried out in accordance wi</w:t>
            </w:r>
            <w:r w:rsidRPr="00763084">
              <w:t>th WHS and other required procedures</w:t>
            </w:r>
          </w:p>
        </w:tc>
      </w:tr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t>Knowledge of explosion-protection standards is applied to a detailed comparison of standards on which the original certification is based with those of another country/region</w:t>
            </w:r>
          </w:p>
        </w:tc>
      </w:tr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t>The documented certification criteria of the equipment are compared to those required for a given country/region, including any compliance tests on which the certification is based</w:t>
            </w:r>
          </w:p>
        </w:tc>
      </w:tr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t xml:space="preserve">All information in the equipment certification documents, including </w:t>
            </w:r>
            <w:r w:rsidRPr="00763084">
              <w:t>that relevant to its use are addressed in the conformity assessment, e.g. installation, maintenance, overhaul/repair and conditions of use</w:t>
            </w:r>
          </w:p>
        </w:tc>
      </w:tr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t>Differences between the certification documentation and that for a given country/region are identified and act</w:t>
            </w:r>
            <w:r w:rsidRPr="00763084">
              <w:t>ions needed to address non-compliant safety issues are recorded</w:t>
            </w:r>
          </w:p>
        </w:tc>
      </w:tr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rPr>
                <w:rStyle w:val="SpecialBold"/>
              </w:rPr>
              <w:t>Document and submit conformity assessment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t>Results are documented in a conformity assessment document, informing whether the equipment provides an ‘equivalent level of safety’</w:t>
            </w:r>
            <w:r w:rsidRPr="00763084">
              <w:t xml:space="preserve"> to be installed, maintained, overhauled/repaired and used safely in a hazardous area</w:t>
            </w:r>
          </w:p>
        </w:tc>
      </w:tr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t>Recommendations for remedial actions, if needed to address non-compliance safety issues, are included in the conformity assessment document</w:t>
            </w:r>
          </w:p>
        </w:tc>
      </w:tr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84">
            <w:pPr>
              <w:pStyle w:val="BodyText"/>
              <w:rPr>
                <w:lang w:val="en-NZ"/>
              </w:rPr>
            </w:pPr>
            <w:r w:rsidRPr="00763084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t>Conformity assessment documentation is forwarded to the appropriate person for inclusion in the hazardous area/explosion-protection compliance records for the site (verification dossier)</w:t>
            </w:r>
          </w:p>
        </w:tc>
      </w:tr>
    </w:tbl>
    <w:p w:rsidR="00000000" w:rsidRPr="00763084" w:rsidP="00763084">
      <w:pPr>
        <w:pStyle w:val="NoPaddingFontSize1"/>
      </w:pPr>
    </w:p>
    <w:p w:rsidR="00000000" w:rsidRPr="00763084" w:rsidP="00763084">
      <w:pPr>
        <w:pStyle w:val="AllowPageBreak"/>
      </w:pPr>
    </w:p>
    <w:p w:rsidR="00000000" w:rsidRPr="00763084" w:rsidP="00763084">
      <w:pPr>
        <w:pStyle w:val="Heading1"/>
      </w:pPr>
      <w:bookmarkStart w:id="7" w:name="O_1242808"/>
      <w:bookmarkEnd w:id="7"/>
      <w:r w:rsidRPr="0076308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t>Foundation skills essential to</w:t>
            </w:r>
            <w:r w:rsidRPr="00763084">
              <w:t xml:space="preserve"> performance are explicit in the performance criteria of this unit of competency.</w:t>
            </w:r>
          </w:p>
        </w:tc>
      </w:tr>
    </w:tbl>
    <w:p w:rsidR="00000000" w:rsidRPr="00763084" w:rsidP="00763084">
      <w:pPr>
        <w:pStyle w:val="NoPaddingFontSize1"/>
      </w:pPr>
    </w:p>
    <w:p w:rsidR="00000000" w:rsidRPr="00763084" w:rsidP="00763084">
      <w:pPr>
        <w:pStyle w:val="AllowPageBreak"/>
      </w:pPr>
    </w:p>
    <w:p w:rsidR="00000000" w:rsidRPr="00763084" w:rsidP="00763084">
      <w:pPr>
        <w:pStyle w:val="Heading1"/>
      </w:pPr>
      <w:bookmarkStart w:id="8" w:name="O_1242809"/>
      <w:bookmarkEnd w:id="8"/>
      <w:r w:rsidRPr="0076308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t>Range is restricted to essential operating conditions and any other variables essential to the work environment.</w:t>
            </w:r>
          </w:p>
          <w:p w:rsidR="00000000" w:rsidRPr="00763084" w:rsidP="00763084">
            <w:pPr>
              <w:pStyle w:val="BodyText"/>
            </w:pPr>
            <w:r w:rsidRPr="00763084">
              <w:t>Non-essential conditions may be found in the Electrotechnology Training Package Companion Volume Implementation Guide.</w:t>
            </w:r>
          </w:p>
        </w:tc>
      </w:tr>
    </w:tbl>
    <w:p w:rsidR="00000000" w:rsidRPr="00763084" w:rsidP="00763084">
      <w:pPr>
        <w:pStyle w:val="NoPaddingFontSize1"/>
      </w:pPr>
    </w:p>
    <w:p w:rsidR="00000000" w:rsidRPr="00763084" w:rsidP="00763084">
      <w:pPr>
        <w:pStyle w:val="AllowPageBreak"/>
      </w:pPr>
    </w:p>
    <w:p w:rsidR="00000000" w:rsidRPr="00763084" w:rsidP="00763084">
      <w:pPr>
        <w:pStyle w:val="Heading1"/>
      </w:pPr>
      <w:bookmarkStart w:id="9" w:name="O_1242810"/>
      <w:bookmarkEnd w:id="9"/>
      <w:r w:rsidRPr="0076308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84" w:rsidP="00763084">
            <w:pPr>
              <w:pStyle w:val="BodyText"/>
            </w:pPr>
            <w:r w:rsidRPr="00763084">
              <w:t>This is a new unit.</w:t>
            </w:r>
          </w:p>
        </w:tc>
      </w:tr>
    </w:tbl>
    <w:p w:rsidR="00000000" w:rsidRPr="00763084" w:rsidP="00763084">
      <w:pPr>
        <w:pStyle w:val="NoPaddingFontSize1"/>
      </w:pPr>
    </w:p>
    <w:p w:rsidR="00000000" w:rsidRPr="00763084" w:rsidP="00763084">
      <w:pPr>
        <w:pStyle w:val="AllowPageBreak"/>
      </w:pPr>
    </w:p>
    <w:p w:rsidR="00000000" w:rsidRPr="00763084" w:rsidP="00763084">
      <w:pPr>
        <w:pStyle w:val="Heading1"/>
      </w:pPr>
      <w:bookmarkStart w:id="10" w:name="O_1242817"/>
      <w:bookmarkEnd w:id="10"/>
      <w:r w:rsidRPr="00763084">
        <w:t>Links</w:t>
      </w:r>
    </w:p>
    <w:p w:rsidR="00000000" w:rsidRPr="00763084" w:rsidP="00F3499D">
      <w:pPr>
        <w:pStyle w:val="BodyText"/>
      </w:pPr>
      <w:r w:rsidRPr="00763084">
        <w:t>Companion Volume Implementation Guides are f</w:t>
      </w:r>
      <w:r w:rsidRPr="00763084">
        <w:t xml:space="preserve">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6667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63084" w:rsidP="00763084"/>
    <w:sectPr w:rsidSect="007630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84" w:rsidRPr="00F3499D" w:rsidP="00F34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9D" w:rsidP="007630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499D" w:rsidP="007630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3499D" w:rsidP="007630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084" w:rsidRPr="00F3499D" w:rsidP="00F34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9D" w:rsidRPr="002D2AF8" w:rsidP="007630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UEEHA0019 Conduct a conformity assessment review of explosion-protected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3499D" w:rsidP="007630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74D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B2E2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0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0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0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0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0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0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0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0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0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0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0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084"/>
  </w:style>
  <w:style w:type="character" w:customStyle="1" w:styleId="Heading1Char">
    <w:name w:val="Heading 1 Char"/>
    <w:basedOn w:val="DefaultParagraphFont"/>
    <w:link w:val="Heading1"/>
    <w:rsid w:val="007630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0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0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0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3084"/>
    <w:rPr>
      <w:b/>
      <w:spacing w:val="0"/>
    </w:rPr>
  </w:style>
  <w:style w:type="paragraph" w:customStyle="1" w:styleId="SuperHeading">
    <w:name w:val="SuperHeading"/>
    <w:basedOn w:val="Normal"/>
    <w:rsid w:val="007630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0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30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0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0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0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0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0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0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0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0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0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0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0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0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0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0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0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30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0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0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30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30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0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0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0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0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0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0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0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0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084"/>
    <w:rPr>
      <w:i/>
    </w:rPr>
  </w:style>
  <w:style w:type="paragraph" w:styleId="Caption">
    <w:name w:val="caption"/>
    <w:basedOn w:val="BodyText"/>
    <w:next w:val="Normal"/>
    <w:qFormat/>
    <w:rsid w:val="007630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0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0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084"/>
  </w:style>
  <w:style w:type="paragraph" w:styleId="TableofFigures">
    <w:name w:val="table of figures"/>
    <w:basedOn w:val="Normal"/>
    <w:next w:val="Normal"/>
    <w:semiHidden/>
    <w:rsid w:val="007630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0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3084"/>
    <w:rPr>
      <w:rFonts w:ascii="Wingdings" w:hAnsi="Wingdings"/>
    </w:rPr>
  </w:style>
  <w:style w:type="paragraph" w:customStyle="1" w:styleId="TableHeading">
    <w:name w:val="Table Heading"/>
    <w:basedOn w:val="HeadingBase"/>
    <w:rsid w:val="007630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084"/>
    <w:rPr>
      <w:color w:val="0033CC"/>
      <w:u w:val="none"/>
    </w:rPr>
  </w:style>
  <w:style w:type="paragraph" w:customStyle="1" w:styleId="BodyTextRight">
    <w:name w:val="Body Text Right"/>
    <w:basedOn w:val="BodyText"/>
    <w:rsid w:val="007630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0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0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0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0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0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084"/>
    <w:rPr>
      <w:sz w:val="32"/>
    </w:rPr>
  </w:style>
  <w:style w:type="paragraph" w:customStyle="1" w:styleId="HeadingProcedure">
    <w:name w:val="Heading Procedure"/>
    <w:basedOn w:val="HeadingBase"/>
    <w:next w:val="Normal"/>
    <w:rsid w:val="007630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084"/>
    <w:pPr>
      <w:spacing w:before="60" w:after="60"/>
    </w:pPr>
  </w:style>
  <w:style w:type="paragraph" w:styleId="ListContinue">
    <w:name w:val="List Continue"/>
    <w:basedOn w:val="List"/>
    <w:rsid w:val="00763084"/>
    <w:pPr>
      <w:ind w:firstLine="0"/>
    </w:pPr>
  </w:style>
  <w:style w:type="paragraph" w:customStyle="1" w:styleId="ListNote">
    <w:name w:val="List Note"/>
    <w:basedOn w:val="List"/>
    <w:rsid w:val="007630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0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0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084"/>
    <w:rPr>
      <w:rFonts w:ascii="Courier New" w:hAnsi="Courier New"/>
    </w:rPr>
  </w:style>
  <w:style w:type="paragraph" w:customStyle="1" w:styleId="NoteBullet">
    <w:name w:val="Note Bullet"/>
    <w:basedOn w:val="Note"/>
    <w:rsid w:val="007630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0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0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0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0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30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0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084"/>
    <w:rPr>
      <w:b/>
      <w:smallCaps/>
    </w:rPr>
  </w:style>
  <w:style w:type="paragraph" w:customStyle="1" w:styleId="TableListNumber">
    <w:name w:val="Table List Number"/>
    <w:basedOn w:val="ListNumber"/>
    <w:rsid w:val="007630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0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084"/>
    <w:pPr>
      <w:numPr>
        <w:numId w:val="8"/>
      </w:numPr>
    </w:pPr>
  </w:style>
  <w:style w:type="paragraph" w:customStyle="1" w:styleId="ListAlpha2">
    <w:name w:val="List Alpha 2"/>
    <w:basedOn w:val="List2"/>
    <w:rsid w:val="00763084"/>
    <w:pPr>
      <w:numPr>
        <w:numId w:val="7"/>
      </w:numPr>
    </w:pPr>
  </w:style>
  <w:style w:type="paragraph" w:styleId="List2">
    <w:name w:val="List 2"/>
    <w:basedOn w:val="BodyText"/>
    <w:rsid w:val="007630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0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0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0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0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0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3084"/>
    <w:pPr>
      <w:numPr>
        <w:numId w:val="3"/>
      </w:numPr>
    </w:pPr>
  </w:style>
  <w:style w:type="paragraph" w:styleId="ListContinue2">
    <w:name w:val="List Continue 2"/>
    <w:basedOn w:val="List2"/>
    <w:rsid w:val="00763084"/>
    <w:pPr>
      <w:ind w:firstLine="0"/>
    </w:pPr>
  </w:style>
  <w:style w:type="paragraph" w:styleId="ListContinue3">
    <w:name w:val="List Continue 3"/>
    <w:basedOn w:val="List3"/>
    <w:rsid w:val="00763084"/>
    <w:pPr>
      <w:ind w:left="1021" w:firstLine="0"/>
    </w:pPr>
  </w:style>
  <w:style w:type="paragraph" w:styleId="ListContinue4">
    <w:name w:val="List Continue 4"/>
    <w:basedOn w:val="List4"/>
    <w:rsid w:val="00763084"/>
    <w:pPr>
      <w:ind w:firstLine="0"/>
    </w:pPr>
  </w:style>
  <w:style w:type="paragraph" w:styleId="ListContinue5">
    <w:name w:val="List Continue 5"/>
    <w:basedOn w:val="List5"/>
    <w:rsid w:val="00763084"/>
    <w:pPr>
      <w:ind w:firstLine="0"/>
    </w:pPr>
  </w:style>
  <w:style w:type="paragraph" w:styleId="ListNumber3">
    <w:name w:val="List Number 3"/>
    <w:basedOn w:val="List3"/>
    <w:rsid w:val="00763084"/>
    <w:pPr>
      <w:numPr>
        <w:numId w:val="4"/>
      </w:numPr>
    </w:pPr>
  </w:style>
  <w:style w:type="paragraph" w:styleId="ListNumber4">
    <w:name w:val="List Number 4"/>
    <w:basedOn w:val="List4"/>
    <w:rsid w:val="00763084"/>
    <w:pPr>
      <w:numPr>
        <w:numId w:val="5"/>
      </w:numPr>
    </w:pPr>
  </w:style>
  <w:style w:type="paragraph" w:styleId="ListNumber5">
    <w:name w:val="List Number 5"/>
    <w:basedOn w:val="List5"/>
    <w:rsid w:val="00763084"/>
    <w:pPr>
      <w:numPr>
        <w:numId w:val="6"/>
      </w:numPr>
    </w:pPr>
  </w:style>
  <w:style w:type="paragraph" w:styleId="BlockText">
    <w:name w:val="Block Text"/>
    <w:basedOn w:val="Normal"/>
    <w:rsid w:val="007630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0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084"/>
    <w:rPr>
      <w:sz w:val="16"/>
      <w:vertAlign w:val="superscript"/>
    </w:rPr>
  </w:style>
  <w:style w:type="character" w:customStyle="1" w:styleId="Symbols">
    <w:name w:val="Symbols"/>
    <w:basedOn w:val="DefaultParagraphFont"/>
    <w:rsid w:val="00763084"/>
    <w:rPr>
      <w:rFonts w:ascii="Symbol" w:hAnsi="Symbol"/>
    </w:rPr>
  </w:style>
  <w:style w:type="character" w:customStyle="1" w:styleId="MenuOptions">
    <w:name w:val="Menu Options"/>
    <w:basedOn w:val="DefaultParagraphFont"/>
    <w:rsid w:val="007630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084"/>
    <w:rPr>
      <w:b/>
    </w:rPr>
  </w:style>
  <w:style w:type="character" w:customStyle="1" w:styleId="Underlined">
    <w:name w:val="Underlined"/>
    <w:basedOn w:val="DefaultParagraphFont"/>
    <w:rsid w:val="00763084"/>
    <w:rPr>
      <w:u w:val="single"/>
    </w:rPr>
  </w:style>
  <w:style w:type="paragraph" w:customStyle="1" w:styleId="TableBodyTextRight">
    <w:name w:val="Table Body Text Right"/>
    <w:basedOn w:val="TableBodyText"/>
    <w:rsid w:val="007630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084"/>
    <w:rPr>
      <w:sz w:val="18"/>
    </w:rPr>
  </w:style>
  <w:style w:type="paragraph" w:customStyle="1" w:styleId="BodySmallRight">
    <w:name w:val="Body Small Right"/>
    <w:basedOn w:val="BodyTextRight"/>
    <w:rsid w:val="00763084"/>
    <w:rPr>
      <w:sz w:val="18"/>
      <w:szCs w:val="18"/>
    </w:rPr>
  </w:style>
  <w:style w:type="paragraph" w:customStyle="1" w:styleId="MarginEdition">
    <w:name w:val="Margin Edition"/>
    <w:basedOn w:val="MarginNote"/>
    <w:rsid w:val="007630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084"/>
    <w:rPr>
      <w:sz w:val="2"/>
      <w:szCs w:val="2"/>
    </w:rPr>
  </w:style>
  <w:style w:type="character" w:customStyle="1" w:styleId="Small">
    <w:name w:val="Small"/>
    <w:basedOn w:val="DefaultParagraphFont"/>
    <w:rsid w:val="00763084"/>
    <w:rPr>
      <w:sz w:val="16"/>
    </w:rPr>
  </w:style>
  <w:style w:type="paragraph" w:customStyle="1" w:styleId="WideTable">
    <w:name w:val="Wide Table"/>
    <w:basedOn w:val="Normal"/>
    <w:rsid w:val="007630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084"/>
  </w:style>
  <w:style w:type="paragraph" w:styleId="Quote">
    <w:name w:val="Quote"/>
    <w:basedOn w:val="Heading1"/>
    <w:link w:val="QuoteChar"/>
    <w:qFormat/>
    <w:rsid w:val="007630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0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084"/>
    <w:pPr>
      <w:pageBreakBefore/>
    </w:pPr>
  </w:style>
  <w:style w:type="paragraph" w:customStyle="1" w:styleId="Border">
    <w:name w:val="Border"/>
    <w:basedOn w:val="Normal"/>
    <w:qFormat/>
    <w:rsid w:val="007630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0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0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0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0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0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0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0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0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084"/>
    <w:rPr>
      <w:u w:val="single"/>
    </w:rPr>
  </w:style>
  <w:style w:type="character" w:customStyle="1" w:styleId="BoldandItalics">
    <w:name w:val="Bold and Italics"/>
    <w:qFormat/>
    <w:rsid w:val="00763084"/>
    <w:rPr>
      <w:b/>
      <w:i/>
      <w:u w:val="none"/>
    </w:rPr>
  </w:style>
  <w:style w:type="paragraph" w:styleId="BalloonText">
    <w:name w:val="Balloon Text"/>
    <w:basedOn w:val="Normal"/>
    <w:link w:val="BalloonTextChar"/>
    <w:rsid w:val="007630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0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0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0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0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0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084"/>
    <w:pPr>
      <w:spacing w:before="0" w:after="0"/>
    </w:pPr>
  </w:style>
  <w:style w:type="paragraph" w:customStyle="1" w:styleId="BodyTextBold">
    <w:name w:val="Body Text Bold"/>
    <w:basedOn w:val="BodyText"/>
    <w:qFormat/>
    <w:rsid w:val="00763084"/>
    <w:rPr>
      <w:b/>
    </w:rPr>
  </w:style>
  <w:style w:type="character" w:styleId="Hyperlink">
    <w:name w:val="Hyperlink"/>
    <w:basedOn w:val="DefaultParagraphFont"/>
    <w:uiPriority w:val="99"/>
    <w:unhideWhenUsed/>
    <w:rsid w:val="00F34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4928</Characters>
  <Application>Microsoft Office Word</Application>
  <DocSecurity>0</DocSecurity>
  <Lines>182</Lines>
  <Paragraphs>77</Paragraphs>
  <ScaleCrop>false</ScaleCrop>
  <Company>Author-it Software Corporation Ltd.</Company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UEEHA0019 Conduct a conformity assessment review of explosion-protected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