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F90" w:rsidP="00454F90">
      <w:pPr>
        <w:pStyle w:val="Title"/>
      </w:pPr>
      <w:r>
        <w:fldChar w:fldCharType="begin"/>
      </w:r>
      <w:r>
        <w:instrText xml:space="preserve"> TITLE   \* MERGEFORMAT </w:instrText>
      </w:r>
      <w:r>
        <w:fldChar w:fldCharType="separate"/>
      </w:r>
      <w:r>
        <w:t>UEEHA0018 Classify areas where flammable gas or vapour hazards may arise</w:t>
      </w:r>
      <w:r>
        <w:fldChar w:fldCharType="end"/>
      </w:r>
    </w:p>
    <w:p w:rsidR="00454F90" w:rsidP="00454F90">
      <w:pPr>
        <w:pStyle w:val="Version"/>
        <w:sectPr w:rsidSect="004A0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4DF" w:rsidP="004A04DF">
      <w:pPr>
        <w:pStyle w:val="SuperHeading"/>
      </w:pPr>
      <w:r w:rsidRPr="004A04DF">
        <w:t>UEEHA0018 Classify areas where flammable gas or vapour hazards may arise</w:t>
      </w:r>
    </w:p>
    <w:p w:rsidR="00000000" w:rsidRPr="004A04DF" w:rsidP="004A04DF">
      <w:pPr>
        <w:pStyle w:val="Heading1"/>
      </w:pPr>
      <w:bookmarkStart w:id="1" w:name="O_1242783"/>
      <w:bookmarkEnd w:id="1"/>
      <w:r w:rsidRPr="004A04DF">
        <w:t>Modification History</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Release 1. This is the first release of this unit of competency in the Electrotechnology Training Package.</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2" w:name="O_1242784"/>
      <w:bookmarkEnd w:id="2"/>
      <w:r w:rsidRPr="004A04DF">
        <w:t>Application</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 xml:space="preserve">This unit involves the skills and knowledge required to classify areas where flammable gas or vapour hazards may arise. It includes: applying area classification recommendations from relevant codes and standards to meet objectives; gathering and analysing </w:t>
            </w:r>
            <w:r w:rsidRPr="004A04DF">
              <w:t>data relative to potential explosion hazards, including characteristics of the hazardous materials; identifying and characterising sources of release; assessing dispersion and ventilation factors; considering plant process and environmental conditions; and</w:t>
            </w:r>
            <w:r w:rsidRPr="004A04DF">
              <w:t xml:space="preserve"> determining the extent of a potential release and documenting findings.</w:t>
            </w:r>
          </w:p>
          <w:p w:rsidR="00000000" w:rsidRPr="004A04DF" w:rsidP="004A04DF">
            <w:pPr>
              <w:pStyle w:val="BodyText"/>
            </w:pPr>
            <w:r w:rsidRPr="004A04DF">
              <w:t xml:space="preserve">Area classification should be carried out by those who understand the relevance and significance of properties of flammable materials (gas &amp; vapours), and those who are familiar with </w:t>
            </w:r>
            <w:r w:rsidRPr="004A04DF">
              <w:t>the process and the equipment (refer AS/NZS60079.10.2).</w:t>
            </w:r>
          </w:p>
          <w:p w:rsidR="00000000" w:rsidRPr="004A04DF" w:rsidP="004A04DF">
            <w:pPr>
              <w:pStyle w:val="BodyText"/>
            </w:pPr>
            <w:r w:rsidRPr="004A04DF">
              <w:t>It applies to personnel involved in the front-end engineering and design (FEED) scopes for facilities that may contain flammable gas or vapour hazards, as well as those persons involved in the ongoing</w:t>
            </w:r>
            <w:r w:rsidRPr="004A04DF">
              <w:t xml:space="preserve"> operations, maintaining and/or modification of these same facilities, during the facility life cycle. It is appropriate for people who need to meet their responsibilities as required by AS/NZS3000:2018.</w:t>
            </w:r>
          </w:p>
          <w:p w:rsidR="00000000" w:rsidRPr="004A04DF" w:rsidP="004A04DF">
            <w:pPr>
              <w:pStyle w:val="BodyText"/>
            </w:pPr>
            <w:r w:rsidRPr="004A04DF">
              <w:t>Site-specific work permits may be required to work i</w:t>
            </w:r>
            <w:r w:rsidRPr="004A04DF">
              <w:t>n a classified hazardous area. In addition, other permits may be required, such as confined space and to operate specific pieces of equipment such as elevated work platforms in various jurisdictions. The classification process assists in the implementation</w:t>
            </w:r>
            <w:r w:rsidRPr="004A04DF">
              <w:t xml:space="preserve"> of these safe systems of work.</w:t>
            </w:r>
          </w:p>
          <w:p w:rsidR="00000000" w:rsidRPr="004A04DF" w:rsidP="004A04DF">
            <w:pPr>
              <w:pStyle w:val="BodyText"/>
            </w:pPr>
            <w:r w:rsidRPr="004A04DF">
              <w:t>Additional and/or other conditions may apply in some jurisdictions subject to regulations related to electrical work. Practice in the workplace and during training is also subject to work health and safety (WHS)/occupational</w:t>
            </w:r>
            <w:r w:rsidRPr="004A04DF">
              <w:t xml:space="preserve"> health and safety (OHS) regulations.</w:t>
            </w:r>
          </w:p>
          <w:p w:rsidR="00000000" w:rsidRPr="004A04DF" w:rsidP="004A04DF">
            <w:pPr>
              <w:pStyle w:val="BodyText"/>
            </w:pPr>
            <w:r w:rsidRPr="004A04DF">
              <w:t>This unit of competency and associated assessment requirements have been adopted from clause 2.15 of AS/NZS 4761.1:2018 Competencies for working with electrical equipment for hazardous areas (EEHA). There may be differ</w:t>
            </w:r>
            <w:r w:rsidRPr="004A04DF">
              <w:t>ences between the content of this unit and AS/NZS 4761.1:2018, so the Standard must be checked to ensure compliance with it. Clause 2.15 of AS/NZS 4761.1:2018 includes the following precondition for assessment:</w:t>
            </w:r>
          </w:p>
          <w:p w:rsidR="00000000" w:rsidRPr="004A04DF" w:rsidP="004A04DF">
            <w:pPr>
              <w:pStyle w:val="ListBullet"/>
            </w:pPr>
            <w:r>
              <w:t>“</w:t>
            </w:r>
            <w:r w:rsidRPr="004A04DF">
              <w:t>A candidate seeking assessment in this unit</w:t>
            </w:r>
            <w:r w:rsidRPr="004A04DF">
              <w:t xml:space="preserve"> shall have been deemed competent to gather and analyse technical data in a relevant engineering or scientific discipline at AQF 7 or NZQF level 7(BD) or equivalent.</w:t>
            </w:r>
            <w:r>
              <w:t>”</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3" w:name="O_1242785"/>
      <w:bookmarkEnd w:id="3"/>
      <w:r w:rsidRPr="004A04DF">
        <w:t>Pre-requisite Unit</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There are no prerequisite units</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4" w:name="O_1242786"/>
      <w:bookmarkEnd w:id="4"/>
      <w:r w:rsidRPr="004A04DF">
        <w:t>Competency Field</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Hazards</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5" w:name="O_1242787"/>
      <w:bookmarkEnd w:id="5"/>
      <w:r w:rsidRPr="004A04DF">
        <w:t>Unit Sector</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Electrotechnology</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6" w:name="O_1242788"/>
      <w:bookmarkEnd w:id="6"/>
      <w:r w:rsidRPr="004A04D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A04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PERFORMANCE CRITERIA</w:t>
            </w:r>
          </w:p>
        </w:tc>
      </w:tr>
      <w:tr w:rsidTr="004A04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Performance criteria describe the performance needed to demonstrate achievement of the element.</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Determine the type and extent of explosion hazard</w:t>
            </w: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Knowledge of the safety principles and objectives of area classification and methods applied to examin</w:t>
            </w:r>
            <w:r w:rsidRPr="004A04DF">
              <w:t>ing the extent to which an explosive hazard may arise</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Extensive knowledge of gas and vapour characteristics are applied</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Consideration is given to reducing the extent of explosion hazards by the application of a hierarchy of risk controls</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The likelihood of an explosive atmosphere occurring, in accordance with the definitions of zones, is established from process and plant layout drawings and specifications, and by consultation with process-operating personnel</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The parameters of fl</w:t>
            </w:r>
            <w:r w:rsidRPr="004A04DF">
              <w:t>ammable materials and the processes by which they may arise affecting the type and extent of zones are obtained and listed together with the sources from which they came</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 xml:space="preserve">Sources and grades of release of flammable gases or vapours that may occur are </w:t>
            </w:r>
            <w:r w:rsidRPr="004A04DF">
              <w:t xml:space="preserve">established from first principles with reference to process, instrumentation and plant layout drawings and specifications and by consultation with process and engineering design </w:t>
            </w:r>
            <w:r w:rsidRPr="004A04DF">
              <w:t>personnel</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Characteristics of release are assessed with the factors affecting those characteristics including gas mixtures</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Consideration is given to eliminating or reducing the likelihood of an explosive atmosphere arising in consultation with process, operati</w:t>
            </w:r>
            <w:r w:rsidRPr="004A04DF">
              <w:t>ng and engineering personnel</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Understanding of ventilation and dispersion aspects and the application of artificial ventilation is applied including estimations/calculations of the ventilation rates to reduce an explosive gas atmosphere in consultati</w:t>
            </w:r>
            <w:r w:rsidRPr="004A04DF">
              <w:t>on with process and engineering design personnel</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Establish the area classifications</w:t>
            </w: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Acceptable methods for establishing the type and extent zones are applied</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The use of illustrative examples in establishing the type and extent of zones is val</w:t>
            </w:r>
            <w:r w:rsidRPr="004A04DF">
              <w:t>idated in accordance with the standards and any limitations are documented</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The types and extent of zones are established from the data collected in the analysis of the area and in consultation with process and engineering specialist personnel</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rPr>
                <w:rStyle w:val="SpecialBold"/>
              </w:rPr>
              <w:t>Document classification process and delineation of zones</w:t>
            </w: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The classification process taken, relevant material properties and justification for the classifications given is documented in accordance with provisions of standards</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Sources of release a</w:t>
            </w:r>
            <w:r w:rsidRPr="004A04DF">
              <w:t>nd zones are shown on plant drawing in accordance with provisions of standards</w:t>
            </w:r>
          </w:p>
        </w:tc>
      </w:tr>
      <w:tr w:rsidTr="004A04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4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All classification documents are filed for future reference and forwarded to the appropriate personnel for inclusion in the verification dossier</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7" w:name="O_1242789"/>
      <w:bookmarkEnd w:id="7"/>
      <w:r w:rsidRPr="004A04DF">
        <w:t>Foundation Skills</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Foundation skills essential to performance are explicit in the performance criteria of this unit of competency.</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8" w:name="O_1242790"/>
      <w:bookmarkEnd w:id="8"/>
      <w:r w:rsidRPr="004A04DF">
        <w:t>Range of Conditions</w:t>
      </w:r>
    </w:p>
    <w:tbl>
      <w:tblPr>
        <w:tblW w:w="9497" w:type="dxa"/>
        <w:tblLayout w:type="fixed"/>
        <w:tblCellMar>
          <w:left w:w="62" w:type="dxa"/>
          <w:right w:w="62" w:type="dxa"/>
        </w:tblCellMar>
        <w:tblLook w:val="0000"/>
      </w:tblPr>
      <w:tblGrid>
        <w:gridCol w:w="2328"/>
        <w:gridCol w:w="7169"/>
      </w:tblGrid>
      <w:tr w:rsidTr="004A04D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Range is restricted to essential operating conditions and any other variables essenti</w:t>
            </w:r>
            <w:r w:rsidRPr="004A04DF">
              <w:t>al to the work environment.</w:t>
            </w:r>
          </w:p>
          <w:p w:rsidR="00000000" w:rsidP="004A04DF">
            <w:pPr>
              <w:pStyle w:val="BodyText"/>
              <w:rPr>
                <w:lang w:val="en-NZ"/>
              </w:rPr>
            </w:pPr>
            <w:r w:rsidRPr="004A04DF">
              <w:t>Non-essential conditions may be found in the Electrotechnology Training Package Companion Volume Implementation Guide.</w:t>
            </w:r>
          </w:p>
        </w:tc>
      </w:tr>
      <w:tr w:rsidTr="004A04DF">
        <w:tblPrEx>
          <w:tblW w:w="9497" w:type="dxa"/>
          <w:tblLayout w:type="fixed"/>
          <w:tblCellMar>
            <w:left w:w="62" w:type="dxa"/>
            <w:right w:w="62" w:type="dxa"/>
          </w:tblCellMar>
          <w:tblLook w:val="0000"/>
        </w:tblPrEx>
        <w:tc>
          <w:tcPr>
            <w:tcW w:w="2328" w:type="dxa"/>
            <w:tcBorders>
              <w:top w:val="nil"/>
              <w:left w:val="nil"/>
              <w:bottom w:val="nil"/>
              <w:right w:val="nil"/>
            </w:tcBorders>
            <w:tcMar>
              <w:top w:w="0" w:type="dxa"/>
              <w:left w:w="62" w:type="dxa"/>
              <w:bottom w:w="0" w:type="dxa"/>
              <w:right w:w="62" w:type="dxa"/>
            </w:tcMar>
          </w:tcPr>
          <w:p w:rsidR="00000000" w:rsidP="004A04DF">
            <w:pPr>
              <w:pStyle w:val="BodyText"/>
              <w:rPr>
                <w:lang w:val="en-NZ"/>
              </w:rPr>
            </w:pPr>
            <w:r w:rsidRPr="004A04DF">
              <w:t>Essential operating conditions include:</w:t>
            </w:r>
          </w:p>
        </w:tc>
        <w:tc>
          <w:tcPr>
            <w:tcW w:w="7169" w:type="dxa"/>
            <w:tcBorders>
              <w:top w:val="nil"/>
              <w:left w:val="nil"/>
              <w:bottom w:val="nil"/>
              <w:right w:val="nil"/>
            </w:tcBorders>
            <w:tcMar>
              <w:top w:w="0" w:type="dxa"/>
              <w:left w:w="62" w:type="dxa"/>
              <w:bottom w:w="0" w:type="dxa"/>
              <w:right w:w="62" w:type="dxa"/>
            </w:tcMar>
          </w:tcPr>
          <w:p w:rsidR="00000000" w:rsidRPr="004A04DF" w:rsidP="004A04DF">
            <w:pPr>
              <w:pStyle w:val="ListBullet"/>
            </w:pPr>
            <w:r w:rsidRPr="004A04DF">
              <w:t>an engineering office associated with an existing, new or proposed</w:t>
            </w:r>
            <w:r w:rsidRPr="004A04DF">
              <w:t xml:space="preserve"> site where the activities may cause a flammable gas or vapour hazards to arise</w:t>
            </w:r>
          </w:p>
          <w:p w:rsidR="00000000" w:rsidRPr="004A04DF" w:rsidP="004A04DF">
            <w:pPr>
              <w:pStyle w:val="ListBullet"/>
            </w:pPr>
            <w:r w:rsidRPr="004A04DF">
              <w:t>plant specifications such as plan and elevation drawings</w:t>
            </w:r>
          </w:p>
          <w:p w:rsidR="00000000" w:rsidRPr="004A04DF" w:rsidP="004A04DF">
            <w:pPr>
              <w:pStyle w:val="ListBullet"/>
            </w:pPr>
            <w:r w:rsidRPr="004A04DF">
              <w:t>process drawings (e.g. PID diagrams)</w:t>
            </w:r>
          </w:p>
          <w:p w:rsidR="00000000" w:rsidRPr="004A04DF" w:rsidP="004A04DF">
            <w:pPr>
              <w:pStyle w:val="ListBullet"/>
            </w:pPr>
            <w:r w:rsidRPr="004A04DF">
              <w:t>relevant pipe work diagrams</w:t>
            </w:r>
          </w:p>
          <w:p w:rsidR="00000000" w:rsidRPr="004A04DF" w:rsidP="004A04DF">
            <w:pPr>
              <w:pStyle w:val="ListBullet"/>
            </w:pPr>
            <w:r w:rsidRPr="004A04DF">
              <w:t>details of vessels and storage tanks</w:t>
            </w:r>
          </w:p>
          <w:p w:rsidR="00000000" w:rsidRPr="004A04DF" w:rsidP="004A04DF">
            <w:pPr>
              <w:pStyle w:val="ListBullet"/>
            </w:pPr>
            <w:r w:rsidRPr="004A04DF">
              <w:t>climatic and topographic information of the site</w:t>
            </w:r>
          </w:p>
          <w:p w:rsidR="00000000" w:rsidRPr="004A04DF" w:rsidP="004A04DF">
            <w:pPr>
              <w:pStyle w:val="ListBullet"/>
            </w:pPr>
            <w:r w:rsidRPr="004A04DF">
              <w:t>process specifications such as liquids and gases involved, flow rates, pressures and temperatures and process descriptions and operations are required</w:t>
            </w:r>
          </w:p>
          <w:p w:rsidR="00000000" w:rsidRPr="004A04DF" w:rsidP="004A04DF">
            <w:pPr>
              <w:pStyle w:val="ListBullet"/>
            </w:pPr>
            <w:r w:rsidRPr="004A04DF">
              <w:t>process and engineering design and operational personnel</w:t>
            </w:r>
          </w:p>
          <w:p w:rsidR="00000000" w:rsidRPr="004A04DF" w:rsidP="004A04DF">
            <w:pPr>
              <w:pStyle w:val="ListBullet"/>
            </w:pPr>
            <w:r w:rsidRPr="004A04DF">
              <w:t>relevant standards and codes</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9" w:name="O_1242791"/>
      <w:bookmarkEnd w:id="9"/>
      <w:r w:rsidRPr="004A04DF">
        <w:t>Unit Mapping Information</w:t>
      </w:r>
    </w:p>
    <w:tbl>
      <w:tblPr>
        <w:tblW w:w="9497" w:type="dxa"/>
        <w:tblLayout w:type="fixed"/>
        <w:tblCellMar>
          <w:left w:w="62" w:type="dxa"/>
          <w:right w:w="62" w:type="dxa"/>
        </w:tblCellMar>
        <w:tblLook w:val="0000"/>
      </w:tblPr>
      <w:tblGrid>
        <w:gridCol w:w="9497"/>
      </w:tblGrid>
      <w:tr w:rsidTr="004A0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DF" w:rsidP="004A04DF">
            <w:pPr>
              <w:pStyle w:val="BodyText"/>
            </w:pPr>
            <w:r w:rsidRPr="004A04DF">
              <w:t>This is a new unit.</w:t>
            </w:r>
          </w:p>
        </w:tc>
      </w:tr>
    </w:tbl>
    <w:p w:rsidR="00000000" w:rsidRPr="004A04DF" w:rsidP="004A04DF">
      <w:pPr>
        <w:pStyle w:val="NoPaddingFontSize1"/>
      </w:pPr>
    </w:p>
    <w:p w:rsidR="00000000" w:rsidRPr="004A04DF" w:rsidP="004A04DF">
      <w:pPr>
        <w:pStyle w:val="AllowPageBreak"/>
      </w:pPr>
    </w:p>
    <w:p w:rsidR="00000000" w:rsidRPr="004A04DF" w:rsidP="004A04DF">
      <w:pPr>
        <w:pStyle w:val="Heading1"/>
      </w:pPr>
      <w:bookmarkStart w:id="10" w:name="O_1242798"/>
      <w:bookmarkEnd w:id="10"/>
      <w:r w:rsidRPr="004A04DF">
        <w:t>Links</w:t>
      </w:r>
    </w:p>
    <w:p w:rsidR="00000000" w:rsidRPr="004A04DF" w:rsidP="00454F90">
      <w:pPr>
        <w:pStyle w:val="BodyText"/>
      </w:pPr>
      <w:r w:rsidRPr="004A04D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E2D6B">
        <w:rPr>
          <w:rStyle w:val="Hyperlink"/>
        </w:rPr>
        <w:t>https://vetnet.gov.au/Pages/TrainingDocs.aspx?q=b8a8f136-5421-4ce1-92e0-2b50341431b6</w:t>
      </w:r>
      <w:r>
        <w:fldChar w:fldCharType="end"/>
      </w:r>
    </w:p>
    <w:p w:rsidR="00000000" w:rsidRPr="004A04DF" w:rsidP="004A04DF"/>
    <w:sectPr w:rsidSect="004A04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DF" w:rsidRPr="00454F90" w:rsidP="00454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90" w:rsidP="004A0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F90" w:rsidP="004A04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4F90" w:rsidP="004A0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4DF" w:rsidRPr="00454F90" w:rsidP="00454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90" w:rsidRPr="002D2AF8" w:rsidP="004A04DF">
    <w:pPr>
      <w:pStyle w:val="Header"/>
      <w:framePr w:wrap="around"/>
    </w:pPr>
    <w:r>
      <w:fldChar w:fldCharType="begin"/>
    </w:r>
    <w:r>
      <w:instrText xml:space="preserve"> TITLE   \* MERGEFORMAT </w:instrText>
    </w:r>
    <w:r>
      <w:fldChar w:fldCharType="separate"/>
    </w:r>
    <w:r>
      <w:t>UEEHA0018 Classify areas where flammable gas or vapour hazards may arise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54F90" w:rsidP="004A0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50E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166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4DF"/>
    <w:pPr>
      <w:spacing w:before="360" w:after="60"/>
      <w:outlineLvl w:val="0"/>
    </w:pPr>
    <w:rPr>
      <w:sz w:val="32"/>
    </w:rPr>
  </w:style>
  <w:style w:type="paragraph" w:styleId="Heading2">
    <w:name w:val="heading 2"/>
    <w:basedOn w:val="HeadingBase"/>
    <w:next w:val="BodyText"/>
    <w:link w:val="Heading2Char"/>
    <w:qFormat/>
    <w:rsid w:val="004A04DF"/>
    <w:pPr>
      <w:keepLines/>
      <w:spacing w:before="240" w:after="120"/>
      <w:outlineLvl w:val="1"/>
    </w:pPr>
    <w:rPr>
      <w:sz w:val="28"/>
      <w:szCs w:val="40"/>
    </w:rPr>
  </w:style>
  <w:style w:type="paragraph" w:styleId="Heading3">
    <w:name w:val="heading 3"/>
    <w:basedOn w:val="HeadingBase"/>
    <w:next w:val="BodyText"/>
    <w:link w:val="Heading3Char"/>
    <w:qFormat/>
    <w:rsid w:val="004A04DF"/>
    <w:pPr>
      <w:spacing w:before="180" w:after="120"/>
      <w:outlineLvl w:val="2"/>
    </w:pPr>
    <w:rPr>
      <w:spacing w:val="-10"/>
      <w:kern w:val="32"/>
    </w:rPr>
  </w:style>
  <w:style w:type="paragraph" w:styleId="Heading4">
    <w:name w:val="heading 4"/>
    <w:basedOn w:val="HeadingBase"/>
    <w:next w:val="BodyText"/>
    <w:link w:val="Heading4Char"/>
    <w:qFormat/>
    <w:rsid w:val="004A04DF"/>
    <w:pPr>
      <w:spacing w:before="160" w:after="120"/>
      <w:outlineLvl w:val="3"/>
    </w:pPr>
    <w:rPr>
      <w:sz w:val="22"/>
    </w:rPr>
  </w:style>
  <w:style w:type="paragraph" w:styleId="Heading5">
    <w:name w:val="heading 5"/>
    <w:basedOn w:val="HeadingBase"/>
    <w:next w:val="Normal"/>
    <w:link w:val="Heading5Char"/>
    <w:qFormat/>
    <w:rsid w:val="004A04DF"/>
    <w:pPr>
      <w:spacing w:before="80"/>
      <w:outlineLvl w:val="4"/>
    </w:pPr>
    <w:rPr>
      <w:color w:val="918585"/>
      <w:sz w:val="20"/>
    </w:rPr>
  </w:style>
  <w:style w:type="paragraph" w:styleId="Heading6">
    <w:name w:val="heading 6"/>
    <w:basedOn w:val="HeadingBase"/>
    <w:next w:val="Normal"/>
    <w:link w:val="Heading6Char"/>
    <w:qFormat/>
    <w:rsid w:val="004A04DF"/>
    <w:pPr>
      <w:spacing w:before="60"/>
      <w:outlineLvl w:val="5"/>
    </w:pPr>
    <w:rPr>
      <w:color w:val="918585"/>
      <w:sz w:val="20"/>
    </w:rPr>
  </w:style>
  <w:style w:type="paragraph" w:styleId="Heading7">
    <w:name w:val="heading 7"/>
    <w:basedOn w:val="Normal"/>
    <w:next w:val="Normal"/>
    <w:link w:val="Heading7Char"/>
    <w:qFormat/>
    <w:rsid w:val="004A04DF"/>
    <w:pPr>
      <w:ind w:left="720"/>
      <w:outlineLvl w:val="6"/>
    </w:pPr>
    <w:rPr>
      <w:i/>
    </w:rPr>
  </w:style>
  <w:style w:type="paragraph" w:styleId="Heading8">
    <w:name w:val="heading 8"/>
    <w:basedOn w:val="Normal"/>
    <w:next w:val="Normal"/>
    <w:link w:val="Heading8Char"/>
    <w:qFormat/>
    <w:rsid w:val="004A04DF"/>
    <w:pPr>
      <w:ind w:left="720"/>
      <w:outlineLvl w:val="7"/>
    </w:pPr>
    <w:rPr>
      <w:i/>
    </w:rPr>
  </w:style>
  <w:style w:type="paragraph" w:styleId="Heading9">
    <w:name w:val="heading 9"/>
    <w:basedOn w:val="Normal"/>
    <w:next w:val="Normal"/>
    <w:link w:val="Heading9Char"/>
    <w:qFormat/>
    <w:rsid w:val="004A04DF"/>
    <w:pPr>
      <w:ind w:left="720"/>
      <w:outlineLvl w:val="8"/>
    </w:pPr>
    <w:rPr>
      <w:i/>
    </w:rPr>
  </w:style>
  <w:style w:type="character" w:default="1" w:styleId="DefaultParagraphFont">
    <w:name w:val="Default Paragraph Font"/>
    <w:uiPriority w:val="1"/>
    <w:unhideWhenUsed/>
    <w:rsid w:val="004A0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4DF"/>
  </w:style>
  <w:style w:type="character" w:customStyle="1" w:styleId="Heading1Char">
    <w:name w:val="Heading 1 Char"/>
    <w:basedOn w:val="DefaultParagraphFont"/>
    <w:link w:val="Heading1"/>
    <w:rsid w:val="004A04DF"/>
    <w:rPr>
      <w:rFonts w:ascii="Times New Roman" w:eastAsia="Times New Roman" w:hAnsi="Times New Roman" w:cs="Times New Roman"/>
      <w:b/>
      <w:sz w:val="32"/>
      <w:szCs w:val="20"/>
      <w:lang w:eastAsia="en-US"/>
    </w:rPr>
  </w:style>
  <w:style w:type="paragraph" w:styleId="BodyText">
    <w:name w:val="Body Text"/>
    <w:basedOn w:val="Normal"/>
    <w:link w:val="BodyTextChar"/>
    <w:rsid w:val="004A0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4DF"/>
    <w:rPr>
      <w:rFonts w:ascii="Times New Roman" w:eastAsia="Times New Roman" w:hAnsi="Times New Roman" w:cs="Times New Roman"/>
      <w:sz w:val="24"/>
      <w:lang w:eastAsia="en-US"/>
    </w:rPr>
  </w:style>
  <w:style w:type="paragraph" w:styleId="ListBullet">
    <w:name w:val="List Bullet"/>
    <w:basedOn w:val="List"/>
    <w:rsid w:val="004A04DF"/>
    <w:pPr>
      <w:numPr>
        <w:numId w:val="11"/>
      </w:numPr>
      <w:tabs>
        <w:tab w:val="clear" w:pos="340"/>
      </w:tabs>
      <w:spacing w:before="40" w:after="40"/>
    </w:pPr>
  </w:style>
  <w:style w:type="character" w:customStyle="1" w:styleId="SpecialBold">
    <w:name w:val="Special Bold"/>
    <w:basedOn w:val="DefaultParagraphFont"/>
    <w:rsid w:val="004A04DF"/>
    <w:rPr>
      <w:b/>
      <w:spacing w:val="0"/>
    </w:rPr>
  </w:style>
  <w:style w:type="paragraph" w:customStyle="1" w:styleId="SuperHeading">
    <w:name w:val="SuperHeading"/>
    <w:basedOn w:val="Normal"/>
    <w:rsid w:val="004A04DF"/>
    <w:pPr>
      <w:spacing w:before="240" w:after="120"/>
      <w:outlineLvl w:val="0"/>
    </w:pPr>
    <w:rPr>
      <w:rFonts w:ascii="Times New Roman" w:hAnsi="Times New Roman"/>
      <w:b/>
      <w:sz w:val="32"/>
    </w:rPr>
  </w:style>
  <w:style w:type="paragraph" w:customStyle="1" w:styleId="AllowPageBreak">
    <w:name w:val="AllowPageBreak"/>
    <w:rsid w:val="004A04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0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4DF"/>
    <w:rPr>
      <w:rFonts w:ascii="Courier New" w:eastAsia="Times New Roman" w:hAnsi="Courier New" w:cs="Times New Roman"/>
      <w:i/>
      <w:szCs w:val="20"/>
      <w:lang w:eastAsia="en-US"/>
    </w:rPr>
  </w:style>
  <w:style w:type="paragraph" w:customStyle="1" w:styleId="HeadingBase">
    <w:name w:val="Heading Base"/>
    <w:rsid w:val="004A0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4DF"/>
    <w:pPr>
      <w:tabs>
        <w:tab w:val="right" w:leader="dot" w:pos="9072"/>
      </w:tabs>
      <w:ind w:left="567"/>
    </w:pPr>
    <w:rPr>
      <w:szCs w:val="22"/>
    </w:rPr>
  </w:style>
  <w:style w:type="paragraph" w:customStyle="1" w:styleId="TOCBase">
    <w:name w:val="TOC Base"/>
    <w:rsid w:val="004A0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4DF"/>
    <w:pPr>
      <w:tabs>
        <w:tab w:val="right" w:leader="dot" w:pos="9072"/>
      </w:tabs>
      <w:spacing w:before="40" w:after="40"/>
      <w:ind w:left="284"/>
    </w:pPr>
    <w:rPr>
      <w:rFonts w:ascii="Times New Roman" w:hAnsi="Times New Roman"/>
    </w:rPr>
  </w:style>
  <w:style w:type="paragraph" w:styleId="TOC1">
    <w:name w:val="toc 1"/>
    <w:basedOn w:val="TOCBase"/>
    <w:next w:val="Normal"/>
    <w:rsid w:val="004A0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4DF"/>
    <w:rPr>
      <w:rFonts w:ascii="Times New Roman" w:eastAsia="Times New Roman" w:hAnsi="Times New Roman" w:cs="Times New Roman"/>
      <w:sz w:val="16"/>
      <w:lang w:eastAsia="en-US"/>
    </w:rPr>
  </w:style>
  <w:style w:type="paragraph" w:styleId="Title">
    <w:name w:val="Title"/>
    <w:basedOn w:val="HeadingBase"/>
    <w:link w:val="TitleChar"/>
    <w:qFormat/>
    <w:rsid w:val="004A04DF"/>
    <w:pPr>
      <w:spacing w:before="5040"/>
      <w:jc w:val="center"/>
    </w:pPr>
    <w:rPr>
      <w:sz w:val="48"/>
      <w:szCs w:val="72"/>
      <w:lang w:val="en-US"/>
    </w:rPr>
  </w:style>
  <w:style w:type="character" w:customStyle="1" w:styleId="TitleChar">
    <w:name w:val="Title Char"/>
    <w:basedOn w:val="DefaultParagraphFont"/>
    <w:link w:val="Title"/>
    <w:rsid w:val="004A0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4DF"/>
    <w:pPr>
      <w:tabs>
        <w:tab w:val="left" w:pos="3600"/>
        <w:tab w:val="left" w:pos="3958"/>
      </w:tabs>
    </w:pPr>
  </w:style>
  <w:style w:type="paragraph" w:styleId="List">
    <w:name w:val="List"/>
    <w:basedOn w:val="BodyText"/>
    <w:next w:val="BodyText"/>
    <w:rsid w:val="004A04DF"/>
    <w:pPr>
      <w:tabs>
        <w:tab w:val="left" w:pos="340"/>
      </w:tabs>
      <w:spacing w:before="60" w:after="60"/>
      <w:ind w:left="340" w:hanging="340"/>
    </w:pPr>
  </w:style>
  <w:style w:type="paragraph" w:customStyle="1" w:styleId="Note">
    <w:name w:val="Note"/>
    <w:basedOn w:val="BodyText"/>
    <w:rsid w:val="004A0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4DF"/>
    <w:pPr>
      <w:framePr w:wrap="auto" w:hAnchor="text" w:y="6049"/>
    </w:pPr>
    <w:rPr>
      <w:color w:val="000000"/>
      <w:sz w:val="40"/>
    </w:rPr>
  </w:style>
  <w:style w:type="paragraph" w:customStyle="1" w:styleId="TOCTitle">
    <w:name w:val="TOCTitle"/>
    <w:basedOn w:val="Heading1"/>
    <w:rsid w:val="004A04DF"/>
    <w:pPr>
      <w:spacing w:after="240"/>
      <w:jc w:val="center"/>
      <w:outlineLvl w:val="9"/>
    </w:pPr>
    <w:rPr>
      <w:caps/>
    </w:rPr>
  </w:style>
  <w:style w:type="paragraph" w:customStyle="1" w:styleId="Version">
    <w:name w:val="Version"/>
    <w:rsid w:val="004A04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4DF"/>
    <w:pPr>
      <w:numPr>
        <w:numId w:val="12"/>
      </w:numPr>
      <w:tabs>
        <w:tab w:val="clear" w:pos="680"/>
      </w:tabs>
    </w:pPr>
  </w:style>
  <w:style w:type="paragraph" w:styleId="Index1">
    <w:name w:val="index 1"/>
    <w:basedOn w:val="Normal"/>
    <w:next w:val="Normal"/>
    <w:semiHidden/>
    <w:rsid w:val="004A04DF"/>
    <w:pPr>
      <w:keepNext w:val="0"/>
      <w:tabs>
        <w:tab w:val="right" w:pos="4176"/>
      </w:tabs>
      <w:ind w:left="198" w:hanging="198"/>
    </w:pPr>
    <w:rPr>
      <w:rFonts w:ascii="Garamond" w:hAnsi="Garamond"/>
    </w:rPr>
  </w:style>
  <w:style w:type="paragraph" w:styleId="IndexHeading">
    <w:name w:val="index heading"/>
    <w:basedOn w:val="Normal"/>
    <w:next w:val="Index1"/>
    <w:semiHidden/>
    <w:rsid w:val="004A04DF"/>
    <w:pPr>
      <w:spacing w:before="120" w:after="120"/>
    </w:pPr>
    <w:rPr>
      <w:rFonts w:ascii="Arial" w:hAnsi="Arial"/>
      <w:b/>
      <w:color w:val="918585"/>
      <w:sz w:val="24"/>
    </w:rPr>
  </w:style>
  <w:style w:type="paragraph" w:styleId="Header">
    <w:name w:val="header"/>
    <w:basedOn w:val="Normal"/>
    <w:link w:val="HeaderChar"/>
    <w:rsid w:val="004A0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4DF"/>
    <w:rPr>
      <w:rFonts w:ascii="Times New Roman" w:eastAsia="Times New Roman" w:hAnsi="Times New Roman" w:cs="Times New Roman"/>
      <w:sz w:val="16"/>
      <w:szCs w:val="20"/>
      <w:lang w:val="en-GB" w:eastAsia="en-US"/>
    </w:rPr>
  </w:style>
  <w:style w:type="paragraph" w:customStyle="1" w:styleId="Chapter">
    <w:name w:val="Chapter"/>
    <w:basedOn w:val="Normal"/>
    <w:rsid w:val="004A04DF"/>
    <w:pPr>
      <w:spacing w:before="240"/>
    </w:pPr>
    <w:rPr>
      <w:rFonts w:ascii="Times New Roman" w:hAnsi="Times New Roman"/>
      <w:smallCaps/>
      <w:spacing w:val="80"/>
      <w:sz w:val="28"/>
    </w:rPr>
  </w:style>
  <w:style w:type="paragraph" w:customStyle="1" w:styleId="InChapter">
    <w:name w:val="InChapter"/>
    <w:basedOn w:val="Heading3"/>
    <w:rsid w:val="004A04DF"/>
    <w:pPr>
      <w:spacing w:after="240"/>
      <w:outlineLvl w:val="9"/>
    </w:pPr>
    <w:rPr>
      <w:noProof/>
    </w:rPr>
  </w:style>
  <w:style w:type="paragraph" w:styleId="Index2">
    <w:name w:val="index 2"/>
    <w:basedOn w:val="Normal"/>
    <w:next w:val="Normal"/>
    <w:semiHidden/>
    <w:rsid w:val="004A04DF"/>
    <w:pPr>
      <w:tabs>
        <w:tab w:val="right" w:pos="4176"/>
      </w:tabs>
      <w:ind w:left="568" w:hanging="284"/>
    </w:pPr>
    <w:rPr>
      <w:rFonts w:ascii="Garamond" w:hAnsi="Garamond"/>
    </w:rPr>
  </w:style>
  <w:style w:type="paragraph" w:customStyle="1" w:styleId="Byline">
    <w:name w:val="Byline"/>
    <w:rsid w:val="004A0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4DF"/>
    <w:pPr>
      <w:tabs>
        <w:tab w:val="clear" w:pos="3600"/>
        <w:tab w:val="clear" w:pos="3958"/>
      </w:tabs>
      <w:jc w:val="right"/>
    </w:pPr>
  </w:style>
  <w:style w:type="character" w:styleId="Emphasis">
    <w:name w:val="Emphasis"/>
    <w:basedOn w:val="DefaultParagraphFont"/>
    <w:qFormat/>
    <w:rsid w:val="004A04DF"/>
    <w:rPr>
      <w:i/>
    </w:rPr>
  </w:style>
  <w:style w:type="paragraph" w:styleId="Caption">
    <w:name w:val="caption"/>
    <w:basedOn w:val="BodyText"/>
    <w:next w:val="Normal"/>
    <w:qFormat/>
    <w:rsid w:val="004A04DF"/>
    <w:pPr>
      <w:framePr w:w="2268" w:hSpace="181" w:vSpace="181" w:wrap="around" w:vAnchor="text" w:hAnchor="page" w:x="1135" w:y="285" w:anchorLock="1"/>
    </w:pPr>
    <w:rPr>
      <w:i/>
    </w:rPr>
  </w:style>
  <w:style w:type="paragraph" w:customStyle="1" w:styleId="MiniTOCTitle">
    <w:name w:val="MiniTOCTitle"/>
    <w:basedOn w:val="Heading4"/>
    <w:rsid w:val="004A04DF"/>
    <w:pPr>
      <w:spacing w:before="240"/>
      <w:outlineLvl w:val="9"/>
    </w:pPr>
    <w:rPr>
      <w:noProof/>
      <w:sz w:val="24"/>
    </w:rPr>
  </w:style>
  <w:style w:type="paragraph" w:customStyle="1" w:styleId="MiniTOCItem">
    <w:name w:val="MiniTOCItem"/>
    <w:basedOn w:val="ListBullet"/>
    <w:rsid w:val="004A04DF"/>
    <w:pPr>
      <w:numPr>
        <w:numId w:val="0"/>
      </w:numPr>
      <w:tabs>
        <w:tab w:val="right" w:leader="dot" w:pos="6521"/>
      </w:tabs>
      <w:spacing w:before="0" w:after="0"/>
    </w:pPr>
  </w:style>
  <w:style w:type="paragraph" w:customStyle="1" w:styleId="TOFTitle">
    <w:name w:val="TOFTitle"/>
    <w:basedOn w:val="TOCTitle"/>
    <w:rsid w:val="004A04DF"/>
  </w:style>
  <w:style w:type="paragraph" w:styleId="TableofFigures">
    <w:name w:val="table of figures"/>
    <w:basedOn w:val="Normal"/>
    <w:next w:val="Normal"/>
    <w:semiHidden/>
    <w:rsid w:val="004A04DF"/>
    <w:pPr>
      <w:tabs>
        <w:tab w:val="right" w:leader="dot" w:pos="9072"/>
      </w:tabs>
      <w:ind w:left="970" w:hanging="403"/>
    </w:pPr>
    <w:rPr>
      <w:rFonts w:ascii="Times New Roman" w:hAnsi="Times New Roman"/>
      <w:b/>
    </w:rPr>
  </w:style>
  <w:style w:type="paragraph" w:styleId="ListNumber">
    <w:name w:val="List Number"/>
    <w:basedOn w:val="List"/>
    <w:rsid w:val="004A04DF"/>
    <w:pPr>
      <w:numPr>
        <w:numId w:val="14"/>
      </w:numPr>
      <w:tabs>
        <w:tab w:val="clear" w:pos="340"/>
      </w:tabs>
    </w:pPr>
  </w:style>
  <w:style w:type="character" w:customStyle="1" w:styleId="WingdingSymbols">
    <w:name w:val="Wingding Symbols"/>
    <w:rsid w:val="004A04DF"/>
    <w:rPr>
      <w:rFonts w:ascii="Wingdings" w:hAnsi="Wingdings"/>
    </w:rPr>
  </w:style>
  <w:style w:type="paragraph" w:customStyle="1" w:styleId="TableHeading">
    <w:name w:val="Table Heading"/>
    <w:basedOn w:val="HeadingBase"/>
    <w:rsid w:val="004A04DF"/>
    <w:pPr>
      <w:keepLines/>
      <w:pBdr>
        <w:bottom w:val="single" w:sz="6" w:space="1" w:color="918585"/>
      </w:pBdr>
      <w:spacing w:before="240"/>
    </w:pPr>
  </w:style>
  <w:style w:type="character" w:customStyle="1" w:styleId="HotSpot">
    <w:name w:val="HotSpot"/>
    <w:rsid w:val="004A04DF"/>
    <w:rPr>
      <w:color w:val="0033CC"/>
      <w:u w:val="none"/>
    </w:rPr>
  </w:style>
  <w:style w:type="paragraph" w:customStyle="1" w:styleId="BodyTextRight">
    <w:name w:val="Body Text Right"/>
    <w:basedOn w:val="BodyText"/>
    <w:rsid w:val="004A04DF"/>
    <w:pPr>
      <w:spacing w:before="0" w:after="0"/>
      <w:jc w:val="right"/>
    </w:pPr>
  </w:style>
  <w:style w:type="paragraph" w:styleId="Index3">
    <w:name w:val="index 3"/>
    <w:basedOn w:val="ListNumber2"/>
    <w:next w:val="Normal"/>
    <w:semiHidden/>
    <w:rsid w:val="004A04DF"/>
    <w:pPr>
      <w:numPr>
        <w:numId w:val="0"/>
      </w:numPr>
      <w:tabs>
        <w:tab w:val="right" w:leader="dot" w:pos="4176"/>
      </w:tabs>
    </w:pPr>
  </w:style>
  <w:style w:type="paragraph" w:styleId="ListNumber2">
    <w:name w:val="List Number 2"/>
    <w:basedOn w:val="List2"/>
    <w:rsid w:val="004A04DF"/>
    <w:pPr>
      <w:numPr>
        <w:numId w:val="9"/>
      </w:numPr>
      <w:tabs>
        <w:tab w:val="clear" w:pos="1060"/>
      </w:tabs>
    </w:pPr>
  </w:style>
  <w:style w:type="paragraph" w:customStyle="1" w:styleId="MarginNote">
    <w:name w:val="Margin Note"/>
    <w:basedOn w:val="BodyText"/>
    <w:rsid w:val="004A0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4DF"/>
    <w:rPr>
      <w:sz w:val="32"/>
    </w:rPr>
  </w:style>
  <w:style w:type="paragraph" w:customStyle="1" w:styleId="HeadingProcedure">
    <w:name w:val="Heading Procedure"/>
    <w:basedOn w:val="HeadingBase"/>
    <w:next w:val="Normal"/>
    <w:rsid w:val="004A04DF"/>
    <w:pPr>
      <w:tabs>
        <w:tab w:val="left" w:pos="0"/>
      </w:tabs>
      <w:spacing w:before="120" w:after="60"/>
    </w:pPr>
    <w:rPr>
      <w:i/>
      <w:color w:val="918585"/>
      <w:sz w:val="22"/>
    </w:rPr>
  </w:style>
  <w:style w:type="paragraph" w:customStyle="1" w:styleId="TableBodyText">
    <w:name w:val="Table Body Text"/>
    <w:basedOn w:val="BodyText"/>
    <w:rsid w:val="004A04DF"/>
    <w:pPr>
      <w:spacing w:before="60" w:after="60"/>
    </w:pPr>
  </w:style>
  <w:style w:type="paragraph" w:styleId="ListContinue">
    <w:name w:val="List Continue"/>
    <w:basedOn w:val="List"/>
    <w:rsid w:val="004A04DF"/>
    <w:pPr>
      <w:ind w:firstLine="0"/>
    </w:pPr>
  </w:style>
  <w:style w:type="paragraph" w:customStyle="1" w:styleId="ListNote">
    <w:name w:val="List Note"/>
    <w:basedOn w:val="List"/>
    <w:rsid w:val="004A04DF"/>
    <w:pPr>
      <w:pBdr>
        <w:top w:val="single" w:sz="6" w:space="2" w:color="918585"/>
        <w:bottom w:val="single" w:sz="6" w:space="2" w:color="918585"/>
      </w:pBdr>
      <w:tabs>
        <w:tab w:val="left" w:pos="1021"/>
      </w:tabs>
      <w:ind w:firstLine="0"/>
    </w:pPr>
  </w:style>
  <w:style w:type="paragraph" w:customStyle="1" w:styleId="Warning">
    <w:name w:val="Warning"/>
    <w:basedOn w:val="BodyText"/>
    <w:rsid w:val="004A04DF"/>
    <w:pPr>
      <w:shd w:val="clear" w:color="auto" w:fill="D9D9D9"/>
      <w:tabs>
        <w:tab w:val="left" w:pos="992"/>
      </w:tabs>
      <w:ind w:left="119" w:right="119"/>
    </w:pPr>
    <w:rPr>
      <w:sz w:val="20"/>
    </w:rPr>
  </w:style>
  <w:style w:type="paragraph" w:customStyle="1" w:styleId="MarginIcons">
    <w:name w:val="Margin Icons"/>
    <w:basedOn w:val="BodyText"/>
    <w:rsid w:val="004A0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4DF"/>
    <w:rPr>
      <w:rFonts w:ascii="Courier New" w:hAnsi="Courier New"/>
    </w:rPr>
  </w:style>
  <w:style w:type="paragraph" w:customStyle="1" w:styleId="NoteBullet">
    <w:name w:val="Note Bullet"/>
    <w:basedOn w:val="Note"/>
    <w:rsid w:val="004A04DF"/>
    <w:pPr>
      <w:tabs>
        <w:tab w:val="clear" w:pos="680"/>
      </w:tabs>
      <w:spacing w:before="60" w:after="60"/>
    </w:pPr>
  </w:style>
  <w:style w:type="paragraph" w:customStyle="1" w:styleId="SubHeading2">
    <w:name w:val="SubHeading2"/>
    <w:basedOn w:val="HeadingBase"/>
    <w:rsid w:val="004A04DF"/>
    <w:pPr>
      <w:spacing w:before="240" w:after="60"/>
    </w:pPr>
    <w:rPr>
      <w:sz w:val="20"/>
    </w:rPr>
  </w:style>
  <w:style w:type="paragraph" w:customStyle="1" w:styleId="SubHeading1">
    <w:name w:val="SubHeading1"/>
    <w:basedOn w:val="HeadingBase"/>
    <w:rsid w:val="004A04DF"/>
    <w:pPr>
      <w:spacing w:before="240" w:after="60"/>
    </w:pPr>
    <w:rPr>
      <w:color w:val="918585"/>
      <w:sz w:val="22"/>
    </w:rPr>
  </w:style>
  <w:style w:type="paragraph" w:customStyle="1" w:styleId="SideHeading">
    <w:name w:val="Side Heading"/>
    <w:basedOn w:val="HeadingBase"/>
    <w:rsid w:val="004A0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4DF"/>
    <w:pPr>
      <w:numPr>
        <w:numId w:val="10"/>
      </w:numPr>
    </w:pPr>
  </w:style>
  <w:style w:type="paragraph" w:styleId="PlainText">
    <w:name w:val="Plain Text"/>
    <w:basedOn w:val="Normal"/>
    <w:link w:val="PlainTextChar"/>
    <w:rsid w:val="004A04DF"/>
    <w:rPr>
      <w:sz w:val="20"/>
    </w:rPr>
  </w:style>
  <w:style w:type="character" w:customStyle="1" w:styleId="PlainTextChar">
    <w:name w:val="Plain Text Char"/>
    <w:basedOn w:val="DefaultParagraphFont"/>
    <w:link w:val="PlainText"/>
    <w:rsid w:val="004A04DF"/>
    <w:rPr>
      <w:rFonts w:ascii="Courier New" w:eastAsia="Times New Roman" w:hAnsi="Courier New" w:cs="Times New Roman"/>
      <w:sz w:val="20"/>
      <w:szCs w:val="20"/>
      <w:lang w:eastAsia="en-US"/>
    </w:rPr>
  </w:style>
  <w:style w:type="character" w:customStyle="1" w:styleId="MenuOption">
    <w:name w:val="Menu Option"/>
    <w:basedOn w:val="DefaultParagraphFont"/>
    <w:rsid w:val="004A04DF"/>
    <w:rPr>
      <w:b/>
      <w:smallCaps/>
    </w:rPr>
  </w:style>
  <w:style w:type="paragraph" w:customStyle="1" w:styleId="TableListNumber">
    <w:name w:val="Table List Number"/>
    <w:basedOn w:val="ListNumber"/>
    <w:rsid w:val="004A04DF"/>
    <w:pPr>
      <w:numPr>
        <w:numId w:val="0"/>
      </w:numPr>
    </w:pPr>
  </w:style>
  <w:style w:type="paragraph" w:styleId="TOC4">
    <w:name w:val="toc 4"/>
    <w:basedOn w:val="TOCBase"/>
    <w:next w:val="Normal"/>
    <w:semiHidden/>
    <w:rsid w:val="004A04DF"/>
    <w:pPr>
      <w:tabs>
        <w:tab w:val="right" w:leader="dot" w:pos="9071"/>
      </w:tabs>
      <w:ind w:left="1701"/>
    </w:pPr>
  </w:style>
  <w:style w:type="paragraph" w:customStyle="1" w:styleId="ListAlpha">
    <w:name w:val="List Alpha"/>
    <w:basedOn w:val="List"/>
    <w:rsid w:val="004A04DF"/>
    <w:pPr>
      <w:numPr>
        <w:numId w:val="8"/>
      </w:numPr>
    </w:pPr>
  </w:style>
  <w:style w:type="paragraph" w:customStyle="1" w:styleId="ListAlpha2">
    <w:name w:val="List Alpha 2"/>
    <w:basedOn w:val="List2"/>
    <w:rsid w:val="004A04DF"/>
    <w:pPr>
      <w:numPr>
        <w:numId w:val="7"/>
      </w:numPr>
    </w:pPr>
  </w:style>
  <w:style w:type="paragraph" w:styleId="List2">
    <w:name w:val="List 2"/>
    <w:basedOn w:val="BodyText"/>
    <w:rsid w:val="004A04DF"/>
    <w:pPr>
      <w:tabs>
        <w:tab w:val="left" w:pos="680"/>
      </w:tabs>
      <w:spacing w:before="60" w:after="60"/>
      <w:ind w:left="680" w:hanging="340"/>
    </w:pPr>
  </w:style>
  <w:style w:type="paragraph" w:styleId="List3">
    <w:name w:val="List 3"/>
    <w:basedOn w:val="BodyText"/>
    <w:rsid w:val="004A04DF"/>
    <w:pPr>
      <w:tabs>
        <w:tab w:val="left" w:pos="1021"/>
      </w:tabs>
      <w:spacing w:before="60" w:after="60"/>
      <w:ind w:left="1020" w:hanging="340"/>
    </w:pPr>
  </w:style>
  <w:style w:type="paragraph" w:styleId="List4">
    <w:name w:val="List 4"/>
    <w:basedOn w:val="BodyText"/>
    <w:rsid w:val="004A04DF"/>
    <w:pPr>
      <w:tabs>
        <w:tab w:val="left" w:pos="1361"/>
      </w:tabs>
      <w:spacing w:before="60" w:after="60"/>
      <w:ind w:left="1361" w:hanging="340"/>
    </w:pPr>
  </w:style>
  <w:style w:type="paragraph" w:styleId="List5">
    <w:name w:val="List 5"/>
    <w:basedOn w:val="BodyText"/>
    <w:rsid w:val="004A04DF"/>
    <w:pPr>
      <w:tabs>
        <w:tab w:val="left" w:pos="1701"/>
      </w:tabs>
      <w:spacing w:before="60" w:after="60"/>
      <w:ind w:left="1701" w:hanging="340"/>
    </w:pPr>
  </w:style>
  <w:style w:type="paragraph" w:styleId="ListBullet3">
    <w:name w:val="List Bullet 3"/>
    <w:basedOn w:val="List3"/>
    <w:rsid w:val="004A04DF"/>
    <w:pPr>
      <w:numPr>
        <w:numId w:val="13"/>
      </w:numPr>
      <w:tabs>
        <w:tab w:val="clear" w:pos="1021"/>
      </w:tabs>
      <w:ind w:left="1037" w:hanging="357"/>
    </w:pPr>
  </w:style>
  <w:style w:type="paragraph" w:styleId="ListBullet4">
    <w:name w:val="List Bullet 4"/>
    <w:basedOn w:val="List4"/>
    <w:rsid w:val="004A04DF"/>
    <w:pPr>
      <w:numPr>
        <w:numId w:val="2"/>
      </w:numPr>
      <w:tabs>
        <w:tab w:val="clear" w:pos="1361"/>
      </w:tabs>
    </w:pPr>
  </w:style>
  <w:style w:type="paragraph" w:styleId="ListBullet5">
    <w:name w:val="List Bullet 5"/>
    <w:basedOn w:val="List5"/>
    <w:rsid w:val="004A04DF"/>
    <w:pPr>
      <w:numPr>
        <w:numId w:val="3"/>
      </w:numPr>
    </w:pPr>
  </w:style>
  <w:style w:type="paragraph" w:styleId="ListContinue2">
    <w:name w:val="List Continue 2"/>
    <w:basedOn w:val="List2"/>
    <w:rsid w:val="004A04DF"/>
    <w:pPr>
      <w:ind w:firstLine="0"/>
    </w:pPr>
  </w:style>
  <w:style w:type="paragraph" w:styleId="ListContinue3">
    <w:name w:val="List Continue 3"/>
    <w:basedOn w:val="List3"/>
    <w:rsid w:val="004A04DF"/>
    <w:pPr>
      <w:ind w:left="1021" w:firstLine="0"/>
    </w:pPr>
  </w:style>
  <w:style w:type="paragraph" w:styleId="ListContinue4">
    <w:name w:val="List Continue 4"/>
    <w:basedOn w:val="List4"/>
    <w:rsid w:val="004A04DF"/>
    <w:pPr>
      <w:ind w:firstLine="0"/>
    </w:pPr>
  </w:style>
  <w:style w:type="paragraph" w:styleId="ListContinue5">
    <w:name w:val="List Continue 5"/>
    <w:basedOn w:val="List5"/>
    <w:rsid w:val="004A04DF"/>
    <w:pPr>
      <w:ind w:firstLine="0"/>
    </w:pPr>
  </w:style>
  <w:style w:type="paragraph" w:styleId="ListNumber3">
    <w:name w:val="List Number 3"/>
    <w:basedOn w:val="List3"/>
    <w:rsid w:val="004A04DF"/>
    <w:pPr>
      <w:numPr>
        <w:numId w:val="4"/>
      </w:numPr>
    </w:pPr>
  </w:style>
  <w:style w:type="paragraph" w:styleId="ListNumber4">
    <w:name w:val="List Number 4"/>
    <w:basedOn w:val="List4"/>
    <w:rsid w:val="004A04DF"/>
    <w:pPr>
      <w:numPr>
        <w:numId w:val="5"/>
      </w:numPr>
    </w:pPr>
  </w:style>
  <w:style w:type="paragraph" w:styleId="ListNumber5">
    <w:name w:val="List Number 5"/>
    <w:basedOn w:val="List5"/>
    <w:rsid w:val="004A04DF"/>
    <w:pPr>
      <w:numPr>
        <w:numId w:val="6"/>
      </w:numPr>
    </w:pPr>
  </w:style>
  <w:style w:type="paragraph" w:styleId="BlockText">
    <w:name w:val="Block Text"/>
    <w:basedOn w:val="Normal"/>
    <w:rsid w:val="004A04DF"/>
    <w:pPr>
      <w:spacing w:after="120"/>
      <w:ind w:left="1440" w:right="1440"/>
    </w:pPr>
  </w:style>
  <w:style w:type="character" w:customStyle="1" w:styleId="Subscript">
    <w:name w:val="Subscript"/>
    <w:basedOn w:val="DefaultParagraphFont"/>
    <w:rsid w:val="004A04DF"/>
    <w:rPr>
      <w:sz w:val="16"/>
      <w:vertAlign w:val="subscript"/>
    </w:rPr>
  </w:style>
  <w:style w:type="character" w:customStyle="1" w:styleId="Superscript">
    <w:name w:val="Superscript"/>
    <w:basedOn w:val="DefaultParagraphFont"/>
    <w:rsid w:val="004A04DF"/>
    <w:rPr>
      <w:sz w:val="16"/>
      <w:vertAlign w:val="superscript"/>
    </w:rPr>
  </w:style>
  <w:style w:type="character" w:customStyle="1" w:styleId="Symbols">
    <w:name w:val="Symbols"/>
    <w:basedOn w:val="DefaultParagraphFont"/>
    <w:rsid w:val="004A04DF"/>
    <w:rPr>
      <w:rFonts w:ascii="Symbol" w:hAnsi="Symbol"/>
    </w:rPr>
  </w:style>
  <w:style w:type="character" w:customStyle="1" w:styleId="MenuOptions">
    <w:name w:val="Menu Options"/>
    <w:basedOn w:val="DefaultParagraphFont"/>
    <w:rsid w:val="004A04DF"/>
    <w:rPr>
      <w:rFonts w:ascii="Arial Narrow" w:hAnsi="Arial Narrow"/>
      <w:smallCaps/>
    </w:rPr>
  </w:style>
  <w:style w:type="character" w:customStyle="1" w:styleId="Buttons">
    <w:name w:val="Buttons"/>
    <w:basedOn w:val="DefaultParagraphFont"/>
    <w:rsid w:val="004A04DF"/>
    <w:rPr>
      <w:b/>
    </w:rPr>
  </w:style>
  <w:style w:type="character" w:customStyle="1" w:styleId="Underlined">
    <w:name w:val="Underlined"/>
    <w:basedOn w:val="DefaultParagraphFont"/>
    <w:rsid w:val="004A04DF"/>
    <w:rPr>
      <w:u w:val="single"/>
    </w:rPr>
  </w:style>
  <w:style w:type="paragraph" w:customStyle="1" w:styleId="TableBodyTextRight">
    <w:name w:val="Table Body Text Right"/>
    <w:basedOn w:val="TableBodyText"/>
    <w:rsid w:val="004A04DF"/>
    <w:pPr>
      <w:widowControl w:val="0"/>
      <w:autoSpaceDE w:val="0"/>
      <w:autoSpaceDN w:val="0"/>
      <w:adjustRightInd w:val="0"/>
      <w:jc w:val="right"/>
    </w:pPr>
    <w:rPr>
      <w:rFonts w:cs="Arial"/>
      <w:szCs w:val="18"/>
    </w:rPr>
  </w:style>
  <w:style w:type="paragraph" w:customStyle="1" w:styleId="CopyrightText">
    <w:name w:val="Copyright Text"/>
    <w:basedOn w:val="BodyText"/>
    <w:rsid w:val="004A04DF"/>
    <w:rPr>
      <w:sz w:val="18"/>
    </w:rPr>
  </w:style>
  <w:style w:type="paragraph" w:customStyle="1" w:styleId="BodySmallRight">
    <w:name w:val="Body Small Right"/>
    <w:basedOn w:val="BodyTextRight"/>
    <w:rsid w:val="004A04DF"/>
    <w:rPr>
      <w:sz w:val="18"/>
      <w:szCs w:val="18"/>
    </w:rPr>
  </w:style>
  <w:style w:type="paragraph" w:customStyle="1" w:styleId="MarginEdition">
    <w:name w:val="Margin Edition"/>
    <w:basedOn w:val="MarginNote"/>
    <w:rsid w:val="004A04DF"/>
    <w:pPr>
      <w:spacing w:before="0" w:after="0"/>
    </w:pPr>
    <w:rPr>
      <w:rFonts w:ascii="Times New Roman" w:hAnsi="Times New Roman"/>
      <w:color w:val="999999"/>
    </w:rPr>
  </w:style>
  <w:style w:type="paragraph" w:customStyle="1" w:styleId="Spacer">
    <w:name w:val="Spacer"/>
    <w:basedOn w:val="Normal"/>
    <w:rsid w:val="004A04DF"/>
    <w:rPr>
      <w:sz w:val="2"/>
      <w:szCs w:val="2"/>
    </w:rPr>
  </w:style>
  <w:style w:type="character" w:customStyle="1" w:styleId="Small">
    <w:name w:val="Small"/>
    <w:basedOn w:val="DefaultParagraphFont"/>
    <w:rsid w:val="004A04DF"/>
    <w:rPr>
      <w:sz w:val="16"/>
    </w:rPr>
  </w:style>
  <w:style w:type="paragraph" w:customStyle="1" w:styleId="WideTable">
    <w:name w:val="Wide Table"/>
    <w:basedOn w:val="Normal"/>
    <w:rsid w:val="004A04DF"/>
    <w:pPr>
      <w:ind w:left="-1418"/>
    </w:pPr>
    <w:rPr>
      <w:sz w:val="2"/>
      <w:szCs w:val="2"/>
    </w:rPr>
  </w:style>
  <w:style w:type="character" w:styleId="PageNumber">
    <w:name w:val="page number"/>
    <w:basedOn w:val="DefaultParagraphFont"/>
    <w:rsid w:val="004A04DF"/>
  </w:style>
  <w:style w:type="paragraph" w:styleId="Quote">
    <w:name w:val="Quote"/>
    <w:basedOn w:val="Heading1"/>
    <w:link w:val="QuoteChar"/>
    <w:qFormat/>
    <w:rsid w:val="004A04DF"/>
    <w:rPr>
      <w:b w:val="0"/>
      <w:sz w:val="72"/>
      <w:szCs w:val="72"/>
      <w:lang w:val="en-NZ"/>
    </w:rPr>
  </w:style>
  <w:style w:type="character" w:customStyle="1" w:styleId="QuoteChar">
    <w:name w:val="Quote Char"/>
    <w:basedOn w:val="DefaultParagraphFont"/>
    <w:link w:val="Quote"/>
    <w:rsid w:val="004A0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4DF"/>
    <w:pPr>
      <w:pageBreakBefore/>
    </w:pPr>
  </w:style>
  <w:style w:type="paragraph" w:customStyle="1" w:styleId="Border">
    <w:name w:val="Border"/>
    <w:basedOn w:val="Normal"/>
    <w:qFormat/>
    <w:rsid w:val="004A0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4DF"/>
    <w:rPr>
      <w:b/>
      <w:bCs/>
      <w:i/>
      <w:iCs/>
      <w:color w:val="auto"/>
    </w:rPr>
  </w:style>
  <w:style w:type="paragraph" w:styleId="IntenseQuote">
    <w:name w:val="Intense Quote"/>
    <w:basedOn w:val="Normal"/>
    <w:next w:val="Normal"/>
    <w:link w:val="IntenseQuoteChar"/>
    <w:uiPriority w:val="30"/>
    <w:qFormat/>
    <w:rsid w:val="004A0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4DF"/>
    <w:rPr>
      <w:smallCaps/>
      <w:color w:val="auto"/>
      <w:u w:val="single"/>
    </w:rPr>
  </w:style>
  <w:style w:type="character" w:styleId="IntenseReference">
    <w:name w:val="Intense Reference"/>
    <w:basedOn w:val="DefaultParagraphFont"/>
    <w:uiPriority w:val="32"/>
    <w:qFormat/>
    <w:rsid w:val="004A04DF"/>
    <w:rPr>
      <w:b/>
      <w:bCs/>
      <w:smallCaps/>
      <w:color w:val="auto"/>
      <w:spacing w:val="5"/>
      <w:u w:val="single"/>
    </w:rPr>
  </w:style>
  <w:style w:type="paragraph" w:customStyle="1" w:styleId="2ColumnHeading">
    <w:name w:val="2Column Heading"/>
    <w:basedOn w:val="BodyText"/>
    <w:qFormat/>
    <w:rsid w:val="004A04DF"/>
    <w:pPr>
      <w:spacing w:after="60"/>
      <w:ind w:left="-2268"/>
    </w:pPr>
    <w:rPr>
      <w:b/>
    </w:rPr>
  </w:style>
  <w:style w:type="paragraph" w:customStyle="1" w:styleId="Heading1TOC">
    <w:name w:val="Heading1 TOC"/>
    <w:basedOn w:val="Normal"/>
    <w:qFormat/>
    <w:rsid w:val="004A04DF"/>
    <w:pPr>
      <w:spacing w:before="240" w:after="120"/>
    </w:pPr>
    <w:rPr>
      <w:rFonts w:ascii="Times New Roman" w:hAnsi="Times New Roman"/>
      <w:b/>
      <w:sz w:val="32"/>
    </w:rPr>
  </w:style>
  <w:style w:type="paragraph" w:customStyle="1" w:styleId="Heading2TOC">
    <w:name w:val="Heading2 TOC"/>
    <w:basedOn w:val="Normal"/>
    <w:qFormat/>
    <w:rsid w:val="004A04DF"/>
    <w:pPr>
      <w:spacing w:before="240" w:after="60"/>
    </w:pPr>
    <w:rPr>
      <w:rFonts w:ascii="Times New Roman" w:hAnsi="Times New Roman"/>
      <w:b/>
      <w:sz w:val="28"/>
    </w:rPr>
  </w:style>
  <w:style w:type="character" w:customStyle="1" w:styleId="Underline">
    <w:name w:val="Underline"/>
    <w:basedOn w:val="DefaultParagraphFont"/>
    <w:qFormat/>
    <w:rsid w:val="004A04DF"/>
    <w:rPr>
      <w:u w:val="single"/>
    </w:rPr>
  </w:style>
  <w:style w:type="character" w:customStyle="1" w:styleId="BoldandItalics">
    <w:name w:val="Bold and Italics"/>
    <w:qFormat/>
    <w:rsid w:val="004A04DF"/>
    <w:rPr>
      <w:b/>
      <w:i/>
      <w:u w:val="none"/>
    </w:rPr>
  </w:style>
  <w:style w:type="paragraph" w:styleId="BalloonText">
    <w:name w:val="Balloon Text"/>
    <w:basedOn w:val="Normal"/>
    <w:link w:val="BalloonTextChar"/>
    <w:rsid w:val="004A04DF"/>
    <w:rPr>
      <w:rFonts w:ascii="Tahoma" w:hAnsi="Tahoma" w:cs="Tahoma"/>
      <w:sz w:val="16"/>
      <w:szCs w:val="16"/>
    </w:rPr>
  </w:style>
  <w:style w:type="character" w:customStyle="1" w:styleId="BalloonTextChar">
    <w:name w:val="Balloon Text Char"/>
    <w:basedOn w:val="DefaultParagraphFont"/>
    <w:link w:val="BalloonText"/>
    <w:rsid w:val="004A0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4DF"/>
    <w:rPr>
      <w:b/>
      <w:color w:val="660033"/>
      <w:spacing w:val="0"/>
    </w:rPr>
  </w:style>
  <w:style w:type="paragraph" w:customStyle="1" w:styleId="Nameditemlist">
    <w:name w:val="Named item list"/>
    <w:basedOn w:val="BodyText"/>
    <w:qFormat/>
    <w:rsid w:val="004A04DF"/>
    <w:pPr>
      <w:tabs>
        <w:tab w:val="left" w:pos="2835"/>
      </w:tabs>
      <w:ind w:left="2835" w:hanging="2835"/>
    </w:pPr>
  </w:style>
  <w:style w:type="paragraph" w:customStyle="1" w:styleId="BodyTextnopadding">
    <w:name w:val="Body Text no padding"/>
    <w:basedOn w:val="BodyText"/>
    <w:qFormat/>
    <w:rsid w:val="004A04DF"/>
    <w:pPr>
      <w:spacing w:before="0" w:after="0"/>
    </w:pPr>
  </w:style>
  <w:style w:type="paragraph" w:customStyle="1" w:styleId="BodyTextBold">
    <w:name w:val="Body Text Bold"/>
    <w:basedOn w:val="BodyText"/>
    <w:qFormat/>
    <w:rsid w:val="004A04DF"/>
    <w:rPr>
      <w:b/>
    </w:rPr>
  </w:style>
  <w:style w:type="character" w:styleId="Hyperlink">
    <w:name w:val="Hyperlink"/>
    <w:basedOn w:val="DefaultParagraphFont"/>
    <w:uiPriority w:val="99"/>
    <w:unhideWhenUsed/>
    <w:rsid w:val="00454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6107</Characters>
  <Application>Microsoft Office Word</Application>
  <DocSecurity>0</DocSecurity>
  <Lines>210</Lines>
  <Paragraphs>94</Paragraphs>
  <ScaleCrop>false</ScaleCrop>
  <Company>Author-it Software Corporation Ltd.</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UEEHA0018 Classify areas where flammable gas or vapour hazards may arise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