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059" w:rsidP="00A84059">
      <w:pPr>
        <w:pStyle w:val="Title"/>
      </w:pPr>
      <w:r>
        <w:fldChar w:fldCharType="begin"/>
      </w:r>
      <w:r>
        <w:instrText xml:space="preserve"> TITLE   \* MERGEFORMAT </w:instrText>
      </w:r>
      <w:r>
        <w:fldChar w:fldCharType="separate"/>
      </w:r>
      <w:r>
        <w:t>UEEHA0010 Supervise repair and overhaul of explosion-protected equipment type Group III (‘t’)</w:t>
      </w:r>
      <w:r>
        <w:fldChar w:fldCharType="end"/>
      </w:r>
    </w:p>
    <w:p w:rsidR="00A84059" w:rsidP="00A84059">
      <w:pPr>
        <w:pStyle w:val="Version"/>
        <w:sectPr w:rsidSect="00FC1F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F57" w:rsidP="00FC1F57">
      <w:pPr>
        <w:pStyle w:val="SuperHeading"/>
      </w:pPr>
      <w:r w:rsidRPr="00FC1F57">
        <w:t>UEEHA0010 Supervise repair and overhaul of explosion-protected equipment type Group III (</w:t>
      </w:r>
      <w:r>
        <w:t>‘</w:t>
      </w:r>
      <w:r w:rsidRPr="00FC1F57">
        <w:t>t</w:t>
      </w:r>
      <w:r>
        <w:t>’</w:t>
      </w:r>
      <w:r w:rsidRPr="00FC1F57">
        <w:t>)</w:t>
      </w:r>
    </w:p>
    <w:p w:rsidR="00000000" w:rsidRPr="00FC1F57" w:rsidP="00FC1F57">
      <w:pPr>
        <w:pStyle w:val="Heading1"/>
      </w:pPr>
      <w:bookmarkStart w:id="1" w:name="O_1103550"/>
      <w:bookmarkEnd w:id="1"/>
      <w:r w:rsidRPr="00FC1F57">
        <w:t>Modification History</w:t>
      </w:r>
    </w:p>
    <w:tbl>
      <w:tblPr>
        <w:tblW w:w="9497" w:type="dxa"/>
        <w:tblLayout w:type="fixed"/>
        <w:tblCellMar>
          <w:left w:w="62" w:type="dxa"/>
          <w:right w:w="62" w:type="dxa"/>
        </w:tblCellMar>
        <w:tblLook w:val="0000"/>
      </w:tblPr>
      <w:tblGrid>
        <w:gridCol w:w="9497"/>
      </w:tblGrid>
      <w:tr w:rsidTr="00FC1F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t>Release 1. This is the first release of this unit of competency in the UEE Electrotechnology Training Package.</w:t>
            </w:r>
          </w:p>
        </w:tc>
      </w:tr>
    </w:tbl>
    <w:p w:rsidR="00000000" w:rsidRPr="00FC1F57" w:rsidP="00FC1F57">
      <w:pPr>
        <w:pStyle w:val="NoPaddingFontSize1"/>
      </w:pPr>
    </w:p>
    <w:p w:rsidR="00000000" w:rsidRPr="00FC1F57" w:rsidP="00FC1F57">
      <w:pPr>
        <w:pStyle w:val="AllowPageBreak"/>
      </w:pPr>
    </w:p>
    <w:p w:rsidR="00000000" w:rsidRPr="00FC1F57" w:rsidP="00FC1F57">
      <w:pPr>
        <w:pStyle w:val="Heading1"/>
      </w:pPr>
      <w:bookmarkStart w:id="2" w:name="O_1103551"/>
      <w:bookmarkEnd w:id="2"/>
      <w:r w:rsidRPr="00FC1F57">
        <w:t>Application</w:t>
      </w:r>
    </w:p>
    <w:tbl>
      <w:tblPr>
        <w:tblW w:w="9497" w:type="dxa"/>
        <w:tblLayout w:type="fixed"/>
        <w:tblCellMar>
          <w:left w:w="62" w:type="dxa"/>
          <w:right w:w="62" w:type="dxa"/>
        </w:tblCellMar>
        <w:tblLook w:val="0000"/>
      </w:tblPr>
      <w:tblGrid>
        <w:gridCol w:w="9497"/>
      </w:tblGrid>
      <w:tr w:rsidTr="00FC1F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t>This unit involves the skills and knowledge required to plan and supervise the repair and overhaul of explosion-protected equipment type Group III (</w:t>
            </w:r>
            <w:r>
              <w:t>‘</w:t>
            </w:r>
            <w:r w:rsidRPr="00FC1F57">
              <w:t>t</w:t>
            </w:r>
            <w:r>
              <w:t>’</w:t>
            </w:r>
            <w:r w:rsidRPr="00FC1F57">
              <w:t xml:space="preserve">). It includes liaising with equipment users to establish and document the </w:t>
            </w:r>
            <w:r w:rsidRPr="00FC1F57">
              <w:t>level of work required; writing specifications for the repair and overhaul and arranging for repairs to be carried out; verifying compliance of repaired and overhauled equipment; and completing all the required documentation. It is adopted from clause 2.22</w:t>
            </w:r>
            <w:r w:rsidRPr="00FC1F57">
              <w:t xml:space="preserve"> of AS/NZS 4761.1:2018 Competencies for working with electrical equipment for hazardous areas (EEHA).</w:t>
            </w:r>
          </w:p>
          <w:p w:rsidR="00000000" w:rsidRPr="00FC1F57" w:rsidP="00FC1F57">
            <w:pPr>
              <w:pStyle w:val="BodyText"/>
            </w:pPr>
            <w:r w:rsidRPr="00FC1F57">
              <w:t>This unit applies to electrical equipment repair workshop supervisory job function, designated as the ‘responsible person’.</w:t>
            </w:r>
          </w:p>
          <w:p w:rsidR="00000000" w:rsidRPr="00FC1F57" w:rsidP="00FC1F57">
            <w:pPr>
              <w:pStyle w:val="BodyText"/>
            </w:pPr>
            <w:r w:rsidRPr="00FC1F57">
              <w:t>Site-specific work permits may</w:t>
            </w:r>
            <w:r w:rsidRPr="00FC1F57">
              <w:t>be required to work in the hazardous environment. In addition, other permits may be required, such as confined space and to operate specific pieces of equipment such as elevated work platforms (EWPs) in various jurisdictions.</w:t>
            </w:r>
          </w:p>
          <w:p w:rsidR="00000000" w:rsidRPr="00FC1F57" w:rsidP="00FC1F57">
            <w:pPr>
              <w:pStyle w:val="BodyText"/>
            </w:pPr>
            <w:r w:rsidRPr="00FC1F57">
              <w:t>Additional and/or other condit</w:t>
            </w:r>
            <w:r w:rsidRPr="00FC1F57">
              <w:t>ions may apply in some jurisdictions subject to regulations related to electrical work. Practice in the workplace and during training is also subject to work health and safety (WHS)/occupational health and safety (OHS) regulations.</w:t>
            </w:r>
          </w:p>
        </w:tc>
      </w:tr>
    </w:tbl>
    <w:p w:rsidR="00000000" w:rsidRPr="00FC1F57" w:rsidP="00FC1F57">
      <w:pPr>
        <w:pStyle w:val="NoPaddingFontSize1"/>
      </w:pPr>
    </w:p>
    <w:p w:rsidR="00000000" w:rsidRPr="00FC1F57" w:rsidP="00FC1F57">
      <w:pPr>
        <w:pStyle w:val="AllowPageBreak"/>
      </w:pPr>
    </w:p>
    <w:p w:rsidR="00000000" w:rsidRPr="00FC1F57" w:rsidP="00FC1F57">
      <w:pPr>
        <w:pStyle w:val="Heading1"/>
      </w:pPr>
      <w:bookmarkStart w:id="3" w:name="O_1103552"/>
      <w:bookmarkEnd w:id="3"/>
      <w:r w:rsidRPr="00FC1F57">
        <w:t>Pre</w:t>
      </w:r>
      <w:r w:rsidRPr="00FC1F57">
        <w:t>-requisite Unit</w:t>
      </w:r>
    </w:p>
    <w:tbl>
      <w:tblPr>
        <w:tblW w:w="9497" w:type="dxa"/>
        <w:tblLayout w:type="fixed"/>
        <w:tblCellMar>
          <w:left w:w="62" w:type="dxa"/>
          <w:right w:w="62" w:type="dxa"/>
        </w:tblCellMar>
        <w:tblLook w:val="0000"/>
      </w:tblPr>
      <w:tblGrid>
        <w:gridCol w:w="9497"/>
      </w:tblGrid>
      <w:tr w:rsidTr="00FC1F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t>UEEHA0003 Determine the explosion-protection requirements to meet a specified classified hazardous area</w:t>
            </w:r>
          </w:p>
          <w:p w:rsidR="00000000" w:rsidRPr="00FC1F57" w:rsidP="00FC1F57">
            <w:pPr>
              <w:pStyle w:val="BodyText"/>
            </w:pPr>
            <w:r w:rsidRPr="00FC1F57">
              <w:t>and</w:t>
            </w:r>
          </w:p>
          <w:p w:rsidR="00000000" w:rsidRPr="00FC1F57" w:rsidP="00FC1F57">
            <w:pPr>
              <w:pStyle w:val="BodyText"/>
            </w:pPr>
            <w:r w:rsidRPr="00FC1F57">
              <w:t>UEEEL0039 Design, install and verify compliance and functionality general electrical installations</w:t>
            </w:r>
          </w:p>
          <w:p w:rsidR="00000000" w:rsidRPr="00FC1F57" w:rsidP="00FC1F57">
            <w:pPr>
              <w:pStyle w:val="BodyText"/>
            </w:pPr>
            <w:r w:rsidRPr="00FC1F57">
              <w:t>or</w:t>
            </w:r>
          </w:p>
          <w:p w:rsidR="00000000" w:rsidRPr="00FC1F57" w:rsidP="00FC1F57">
            <w:pPr>
              <w:pStyle w:val="BodyText"/>
            </w:pPr>
            <w:r w:rsidRPr="00FC1F57">
              <w:t>UEEEL0028 Conduct compliance a</w:t>
            </w:r>
            <w:r w:rsidRPr="00FC1F57">
              <w:t>nd functional verification of electrical apparatus and existing circuits</w:t>
            </w:r>
          </w:p>
          <w:p w:rsidR="00000000" w:rsidRPr="00FC1F57" w:rsidP="00FC1F57">
            <w:pPr>
              <w:pStyle w:val="BodyText"/>
            </w:pPr>
            <w:r w:rsidRPr="00FC1F57">
              <w:t>or</w:t>
            </w:r>
          </w:p>
          <w:p w:rsidR="00000000" w:rsidRPr="00FC1F57" w:rsidP="00FC1F57">
            <w:pPr>
              <w:pStyle w:val="BodyText"/>
            </w:pPr>
            <w:r w:rsidRPr="00FC1F57">
              <w:t>UEEIC0048 Verify compliance and functionality of instrumentation and control installations</w:t>
            </w:r>
          </w:p>
        </w:tc>
      </w:tr>
    </w:tbl>
    <w:p w:rsidR="00000000" w:rsidRPr="00FC1F57" w:rsidP="00FC1F57">
      <w:pPr>
        <w:pStyle w:val="NoPaddingFontSize1"/>
      </w:pPr>
    </w:p>
    <w:p w:rsidR="00000000" w:rsidRPr="00FC1F57" w:rsidP="00FC1F57">
      <w:pPr>
        <w:pStyle w:val="AllowPageBreak"/>
      </w:pPr>
    </w:p>
    <w:p w:rsidR="00000000" w:rsidRPr="00FC1F57" w:rsidP="00FC1F57">
      <w:pPr>
        <w:pStyle w:val="Heading1"/>
      </w:pPr>
      <w:bookmarkStart w:id="4" w:name="O_1103553"/>
      <w:bookmarkEnd w:id="4"/>
      <w:r w:rsidRPr="00FC1F57">
        <w:t>Competency Field</w:t>
      </w:r>
    </w:p>
    <w:tbl>
      <w:tblPr>
        <w:tblW w:w="9497" w:type="dxa"/>
        <w:tblLayout w:type="fixed"/>
        <w:tblCellMar>
          <w:left w:w="62" w:type="dxa"/>
          <w:right w:w="62" w:type="dxa"/>
        </w:tblCellMar>
        <w:tblLook w:val="0000"/>
      </w:tblPr>
      <w:tblGrid>
        <w:gridCol w:w="9497"/>
      </w:tblGrid>
      <w:tr w:rsidTr="00FC1F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t>Hazardous</w:t>
            </w:r>
          </w:p>
        </w:tc>
      </w:tr>
    </w:tbl>
    <w:p w:rsidR="00000000" w:rsidRPr="00FC1F57" w:rsidP="00FC1F57">
      <w:pPr>
        <w:pStyle w:val="NoPaddingFontSize1"/>
      </w:pPr>
    </w:p>
    <w:p w:rsidR="00000000" w:rsidRPr="00FC1F57" w:rsidP="00FC1F57">
      <w:pPr>
        <w:pStyle w:val="AllowPageBreak"/>
      </w:pPr>
    </w:p>
    <w:p w:rsidR="00000000" w:rsidRPr="00FC1F57" w:rsidP="00FC1F57">
      <w:pPr>
        <w:pStyle w:val="Heading1"/>
      </w:pPr>
      <w:bookmarkStart w:id="5" w:name="O_1103554"/>
      <w:bookmarkEnd w:id="5"/>
      <w:r w:rsidRPr="00FC1F57">
        <w:t>Unit Sector</w:t>
      </w:r>
    </w:p>
    <w:tbl>
      <w:tblPr>
        <w:tblW w:w="9497" w:type="dxa"/>
        <w:tblLayout w:type="fixed"/>
        <w:tblCellMar>
          <w:left w:w="62" w:type="dxa"/>
          <w:right w:w="62" w:type="dxa"/>
        </w:tblCellMar>
        <w:tblLook w:val="0000"/>
      </w:tblPr>
      <w:tblGrid>
        <w:gridCol w:w="9497"/>
      </w:tblGrid>
      <w:tr w:rsidTr="00FC1F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t>Electrotechnology</w:t>
            </w:r>
          </w:p>
        </w:tc>
      </w:tr>
    </w:tbl>
    <w:p w:rsidR="00000000" w:rsidRPr="00FC1F57" w:rsidP="00FC1F57">
      <w:pPr>
        <w:pStyle w:val="NoPaddingFontSize1"/>
      </w:pPr>
    </w:p>
    <w:p w:rsidR="00000000" w:rsidRPr="00FC1F57" w:rsidP="00FC1F57">
      <w:pPr>
        <w:pStyle w:val="AllowPageBreak"/>
      </w:pPr>
    </w:p>
    <w:p w:rsidR="00000000" w:rsidRPr="00FC1F57" w:rsidP="00FC1F57">
      <w:pPr>
        <w:pStyle w:val="Heading1"/>
      </w:pPr>
      <w:bookmarkStart w:id="6" w:name="O_1103555"/>
      <w:bookmarkEnd w:id="6"/>
      <w:r w:rsidRPr="00FC1F5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C1F5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PERFORMANCE CRITERIA</w:t>
            </w:r>
          </w:p>
        </w:tc>
      </w:tr>
      <w:tr w:rsidTr="00FC1F5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Performance criteria describe the performance needed to demonstrate achievement of the element.</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Repair facility quality assurance system is obtained, interpreted and applied</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F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Instructions on repair and/or overhaul are received and expected outcomes of the work confirmed with the user</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F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All documentation relevant to the equipment repair and/or overhaul is obtained, interpreted and applied</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F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Where adequate relevant equipment information is not available, steps taken to source such information are documented</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F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Agreement is made wi</w:t>
            </w:r>
            <w:r w:rsidRPr="00FC1F57">
              <w:t>th the user for the repair and/or overhaul of Group II and III equipment to be completed in accordance with standards where adequate documentation is not available</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F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The common requirements for equipment repair and overhaul are ascertained from releva</w:t>
            </w:r>
            <w:r w:rsidRPr="00FC1F57">
              <w:t>nt standards and regulations and applied to the preparation for the work only where this arrangement is permitted</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rPr>
                <w:rStyle w:val="SpecialBold"/>
              </w:rPr>
              <w:t>Establish the level of repair/ overhaul required</w:t>
            </w: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Safe work methods are applied to measurements, tests and inspections carried out on the equipment to establish the extent of repair and/or overhaul</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F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The requirements, evaluation procedures and parameters of the type of equipment to be repaired and/or</w:t>
            </w:r>
            <w:r w:rsidRPr="00FC1F57">
              <w:t xml:space="preserve"> overhauled are ascertained from relevant standards and regulations and applied to establishing the extent of the work</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F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Measurement devices and instruments are maintained and calibrated in accordance with recognised practices</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F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The extent of wor</w:t>
            </w:r>
            <w:r w:rsidRPr="00FC1F57">
              <w:t>k to be completed is established from measurements, tolerances and evaluation procedures and their correspondence with equipment documentation and the requirements of standards</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F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 xml:space="preserve">Specifications and instructions for the repair and/or overhaul work are </w:t>
            </w:r>
            <w:r w:rsidRPr="00FC1F57">
              <w:t>documented ensuring compliance with original documentation, standards and user instructions</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Arrangements are made for the repair and overhaul work to be completed in accordance with the specification and instructions, by an operative with the competencies specified in standards</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F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A copy of repair and/or overhaul specifications and instructio</w:t>
            </w:r>
            <w:r w:rsidRPr="00FC1F57">
              <w:t>ns is provided to the operative responsible for completing the work</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Scope and level of testing and measurements required to verify that overhauled and/or repaired equipment complies with ori</w:t>
            </w:r>
            <w:r w:rsidRPr="00FC1F57">
              <w:t>ginal certification is determined in accordance with manufacturers’ documentation and standards requirements as applicable to an equipment group</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F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 xml:space="preserve">Verification tests and measurements are arranged, conducted and documented in accordance with equipment </w:t>
            </w:r>
            <w:r w:rsidRPr="00FC1F57">
              <w:t>type, standards and instruction manuals</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F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Results of verification tests and measurements are reviewed to ascertain whether they comply with original equipment documentation and/or agreement with the user</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F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Actions are taken to rectify any non-compliance identified through the verification tests and measurements</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Equipment is marked to show it has been repaired and/or overhauled in accordance with standards and applicab</w:t>
            </w:r>
            <w:r w:rsidRPr="00FC1F57">
              <w:t>le to an equipment group</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F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Job report of the completed repair and/or overhaul is prepared in accordance with standards and submitted to the user for inclusion in their verification dossier</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F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Repair facility records are updated to include the job record in accordance with standards and quality system</w:t>
            </w:r>
          </w:p>
        </w:tc>
      </w:tr>
      <w:tr w:rsidTr="00FC1F5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F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t>The steps taken to obtain the certificate documents where adequate equipment documentation was not available is included in the repair faci</w:t>
            </w:r>
            <w:r w:rsidRPr="00FC1F57">
              <w:t>lity records</w:t>
            </w:r>
          </w:p>
        </w:tc>
      </w:tr>
    </w:tbl>
    <w:p w:rsidR="00000000" w:rsidRPr="00FC1F57" w:rsidP="00FC1F57">
      <w:pPr>
        <w:pStyle w:val="NoPaddingFontSize1"/>
      </w:pPr>
    </w:p>
    <w:p w:rsidR="00000000" w:rsidRPr="00FC1F57" w:rsidP="00FC1F57">
      <w:pPr>
        <w:pStyle w:val="AllowPageBreak"/>
      </w:pPr>
    </w:p>
    <w:p w:rsidR="00000000" w:rsidRPr="00FC1F57" w:rsidP="00FC1F57">
      <w:pPr>
        <w:pStyle w:val="Heading1"/>
      </w:pPr>
      <w:bookmarkStart w:id="7" w:name="O_1103556"/>
      <w:bookmarkEnd w:id="7"/>
      <w:r w:rsidRPr="00FC1F57">
        <w:t>Foundation Skills</w:t>
      </w:r>
    </w:p>
    <w:tbl>
      <w:tblPr>
        <w:tblW w:w="9497" w:type="dxa"/>
        <w:tblLayout w:type="fixed"/>
        <w:tblCellMar>
          <w:left w:w="62" w:type="dxa"/>
          <w:right w:w="62" w:type="dxa"/>
        </w:tblCellMar>
        <w:tblLook w:val="0000"/>
      </w:tblPr>
      <w:tblGrid>
        <w:gridCol w:w="9497"/>
      </w:tblGrid>
      <w:tr w:rsidTr="00FC1F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t>Foundation skills essential to performance are explicit in the performance criteria of this unit of competency.</w:t>
            </w:r>
          </w:p>
        </w:tc>
      </w:tr>
    </w:tbl>
    <w:p w:rsidR="00000000" w:rsidRPr="00FC1F57" w:rsidP="00FC1F57">
      <w:pPr>
        <w:pStyle w:val="NoPaddingFontSize1"/>
      </w:pPr>
    </w:p>
    <w:p w:rsidR="00000000" w:rsidRPr="00FC1F57" w:rsidP="00FC1F57">
      <w:pPr>
        <w:pStyle w:val="AllowPageBreak"/>
      </w:pPr>
    </w:p>
    <w:p w:rsidR="00000000" w:rsidRPr="00FC1F57" w:rsidP="00FC1F57">
      <w:pPr>
        <w:pStyle w:val="Heading1"/>
      </w:pPr>
      <w:bookmarkStart w:id="8" w:name="O_1103557"/>
      <w:bookmarkEnd w:id="8"/>
      <w:r w:rsidRPr="00FC1F57">
        <w:t>Range of Conditions</w:t>
      </w:r>
    </w:p>
    <w:tbl>
      <w:tblPr>
        <w:tblW w:w="9497" w:type="dxa"/>
        <w:tblLayout w:type="fixed"/>
        <w:tblCellMar>
          <w:left w:w="62" w:type="dxa"/>
          <w:right w:w="62" w:type="dxa"/>
        </w:tblCellMar>
        <w:tblLook w:val="0000"/>
      </w:tblPr>
      <w:tblGrid>
        <w:gridCol w:w="4693"/>
        <w:gridCol w:w="4804"/>
      </w:tblGrid>
      <w:tr w:rsidTr="00FC1F5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t>Range is restricted to essential operating conditio</w:t>
            </w:r>
            <w:r w:rsidRPr="00FC1F57">
              <w:t>ns and any other variables essential to the work environment.</w:t>
            </w:r>
          </w:p>
          <w:p w:rsidR="00000000" w:rsidP="00FC1F57">
            <w:pPr>
              <w:pStyle w:val="BodyText"/>
              <w:rPr>
                <w:lang w:val="en-NZ"/>
              </w:rPr>
            </w:pPr>
            <w:r w:rsidRPr="00FC1F57">
              <w:t>Non-essential conditions may be found in the UEE Electrotechnology Training Package Companion Volume Implementation Guide.</w:t>
            </w:r>
          </w:p>
        </w:tc>
      </w:tr>
      <w:tr w:rsidTr="00FC1F5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C1F57">
            <w:pPr>
              <w:pStyle w:val="BodyText"/>
              <w:rPr>
                <w:lang w:val="en-NZ"/>
              </w:rPr>
            </w:pPr>
            <w:r w:rsidRPr="00FC1F57">
              <w:t>Supervising repair and overhaul of explosion-protected equipment type Group III (</w:t>
            </w:r>
            <w:r>
              <w:t>‘</w:t>
            </w:r>
            <w:r w:rsidRPr="00FC1F57">
              <w:t>t</w:t>
            </w:r>
            <w:r>
              <w:t>’</w:t>
            </w:r>
            <w:r w:rsidRPr="00FC1F57">
              <w:t>) must:</w:t>
            </w:r>
          </w:p>
        </w:tc>
        <w:tc>
          <w:tcPr>
            <w:tcW w:w="4804" w:type="dxa"/>
            <w:tcBorders>
              <w:top w:val="nil"/>
              <w:left w:val="nil"/>
              <w:bottom w:val="nil"/>
              <w:right w:val="nil"/>
            </w:tcBorders>
            <w:tcMar>
              <w:top w:w="0" w:type="dxa"/>
              <w:left w:w="62" w:type="dxa"/>
              <w:bottom w:w="0" w:type="dxa"/>
              <w:right w:w="62" w:type="dxa"/>
            </w:tcMar>
          </w:tcPr>
          <w:p w:rsidR="00000000" w:rsidRPr="00FC1F57" w:rsidP="00FC1F57">
            <w:pPr>
              <w:pStyle w:val="ListBullet"/>
            </w:pPr>
            <w:r w:rsidRPr="00FC1F57">
              <w:t>apply to the supervision of overhaul and repair of explosion-protected equipment</w:t>
            </w:r>
          </w:p>
          <w:p w:rsidR="00000000" w:rsidRPr="00FC1F57" w:rsidP="00FC1F57">
            <w:pPr>
              <w:pStyle w:val="ListBullet"/>
            </w:pPr>
            <w:r w:rsidRPr="00FC1F57">
              <w:t>be carried out under an approved quality management system</w:t>
            </w:r>
          </w:p>
          <w:p w:rsidR="00000000" w:rsidRPr="00FC1F57" w:rsidP="00FC1F57">
            <w:pPr>
              <w:pStyle w:val="ListBullet"/>
            </w:pPr>
            <w:r w:rsidRPr="00FC1F57">
              <w:t>include access to all r</w:t>
            </w:r>
            <w:r w:rsidRPr="00FC1F57">
              <w:t>elevant standards and liaison with end-users</w:t>
            </w:r>
          </w:p>
        </w:tc>
      </w:tr>
    </w:tbl>
    <w:p w:rsidR="00000000" w:rsidRPr="00FC1F57" w:rsidP="00FC1F57">
      <w:pPr>
        <w:pStyle w:val="NoPaddingFontSize1"/>
      </w:pPr>
    </w:p>
    <w:p w:rsidR="00000000" w:rsidRPr="00FC1F57" w:rsidP="00FC1F57">
      <w:pPr>
        <w:pStyle w:val="AllowPageBreak"/>
      </w:pPr>
    </w:p>
    <w:p w:rsidR="00000000" w:rsidRPr="00FC1F57" w:rsidP="00FC1F57">
      <w:pPr>
        <w:pStyle w:val="Heading1"/>
      </w:pPr>
      <w:bookmarkStart w:id="9" w:name="O_1103558"/>
      <w:bookmarkEnd w:id="9"/>
      <w:r w:rsidRPr="00FC1F57">
        <w:t>Unit Mapping Information</w:t>
      </w:r>
    </w:p>
    <w:tbl>
      <w:tblPr>
        <w:tblW w:w="9497" w:type="dxa"/>
        <w:tblLayout w:type="fixed"/>
        <w:tblCellMar>
          <w:left w:w="62" w:type="dxa"/>
          <w:right w:w="62" w:type="dxa"/>
        </w:tblCellMar>
        <w:tblLook w:val="0000"/>
      </w:tblPr>
      <w:tblGrid>
        <w:gridCol w:w="9497"/>
      </w:tblGrid>
      <w:tr w:rsidTr="00FC1F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F57" w:rsidP="00FC1F57">
            <w:pPr>
              <w:pStyle w:val="BodyText"/>
            </w:pPr>
            <w:r w:rsidRPr="00FC1F57">
              <w:t>No equivalent unit.</w:t>
            </w:r>
          </w:p>
        </w:tc>
      </w:tr>
    </w:tbl>
    <w:p w:rsidR="00000000" w:rsidRPr="00FC1F57" w:rsidP="00FC1F57">
      <w:pPr>
        <w:pStyle w:val="NoPaddingFontSize1"/>
      </w:pPr>
    </w:p>
    <w:p w:rsidR="00000000" w:rsidRPr="00FC1F57" w:rsidP="00FC1F57">
      <w:pPr>
        <w:pStyle w:val="AllowPageBreak"/>
      </w:pPr>
    </w:p>
    <w:p w:rsidR="00000000" w:rsidRPr="00FC1F57" w:rsidP="00FC1F57">
      <w:pPr>
        <w:pStyle w:val="Heading1"/>
      </w:pPr>
      <w:bookmarkStart w:id="10" w:name="O_1103565"/>
      <w:bookmarkEnd w:id="10"/>
      <w:r w:rsidRPr="00FC1F57">
        <w:t>Links</w:t>
      </w:r>
    </w:p>
    <w:p w:rsidR="00000000" w:rsidRPr="00FC1F57" w:rsidP="00A84059">
      <w:pPr>
        <w:pStyle w:val="BodyText"/>
      </w:pPr>
      <w:r w:rsidRPr="00FC1F5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93242">
        <w:rPr>
          <w:rStyle w:val="Hyperlink"/>
        </w:rPr>
        <w:t>https://vetnet.gov.au/Pages/TrainingDocs.aspx?q=b8a8f136-5421-4ce1-92e0-2b50341431b6</w:t>
      </w:r>
      <w:r>
        <w:fldChar w:fldCharType="end"/>
      </w:r>
    </w:p>
    <w:p w:rsidR="00000000" w:rsidRPr="00FC1F57" w:rsidP="00FC1F57"/>
    <w:sectPr w:rsidSect="00FC1F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57" w:rsidRPr="00A84059" w:rsidP="00A840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059" w:rsidP="00FC1F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4059" w:rsidP="00FC1F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84059" w:rsidP="00FC1F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0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1F57" w:rsidRPr="00A84059" w:rsidP="00A840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059" w:rsidRPr="002D2AF8" w:rsidP="00FC1F57">
    <w:pPr>
      <w:pStyle w:val="Header"/>
      <w:framePr w:wrap="around"/>
    </w:pPr>
    <w:r>
      <w:fldChar w:fldCharType="begin"/>
    </w:r>
    <w:r>
      <w:instrText xml:space="preserve"> TITLE   \* MERGEFORMAT </w:instrText>
    </w:r>
    <w:r>
      <w:fldChar w:fldCharType="separate"/>
    </w:r>
    <w:r>
      <w:t>UEEHA0010 Supervise repair and overhaul of explosion-protected equipment type Group III ('t')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A84059" w:rsidP="00FC1F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3242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3004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F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1F57"/>
    <w:pPr>
      <w:spacing w:before="360" w:after="60"/>
      <w:outlineLvl w:val="0"/>
    </w:pPr>
    <w:rPr>
      <w:sz w:val="32"/>
    </w:rPr>
  </w:style>
  <w:style w:type="paragraph" w:styleId="Heading2">
    <w:name w:val="heading 2"/>
    <w:basedOn w:val="HeadingBase"/>
    <w:next w:val="BodyText"/>
    <w:link w:val="Heading2Char"/>
    <w:qFormat/>
    <w:rsid w:val="00FC1F57"/>
    <w:pPr>
      <w:keepLines/>
      <w:spacing w:before="240" w:after="120"/>
      <w:outlineLvl w:val="1"/>
    </w:pPr>
    <w:rPr>
      <w:sz w:val="28"/>
      <w:szCs w:val="40"/>
    </w:rPr>
  </w:style>
  <w:style w:type="paragraph" w:styleId="Heading3">
    <w:name w:val="heading 3"/>
    <w:basedOn w:val="HeadingBase"/>
    <w:next w:val="BodyText"/>
    <w:link w:val="Heading3Char"/>
    <w:qFormat/>
    <w:rsid w:val="00FC1F57"/>
    <w:pPr>
      <w:spacing w:before="180" w:after="120"/>
      <w:outlineLvl w:val="2"/>
    </w:pPr>
    <w:rPr>
      <w:spacing w:val="-10"/>
      <w:kern w:val="32"/>
    </w:rPr>
  </w:style>
  <w:style w:type="paragraph" w:styleId="Heading4">
    <w:name w:val="heading 4"/>
    <w:basedOn w:val="HeadingBase"/>
    <w:next w:val="BodyText"/>
    <w:link w:val="Heading4Char"/>
    <w:qFormat/>
    <w:rsid w:val="00FC1F57"/>
    <w:pPr>
      <w:spacing w:before="160" w:after="120"/>
      <w:outlineLvl w:val="3"/>
    </w:pPr>
    <w:rPr>
      <w:sz w:val="22"/>
    </w:rPr>
  </w:style>
  <w:style w:type="paragraph" w:styleId="Heading5">
    <w:name w:val="heading 5"/>
    <w:basedOn w:val="HeadingBase"/>
    <w:next w:val="Normal"/>
    <w:link w:val="Heading5Char"/>
    <w:qFormat/>
    <w:rsid w:val="00FC1F57"/>
    <w:pPr>
      <w:spacing w:before="80"/>
      <w:outlineLvl w:val="4"/>
    </w:pPr>
    <w:rPr>
      <w:color w:val="918585"/>
      <w:sz w:val="20"/>
    </w:rPr>
  </w:style>
  <w:style w:type="paragraph" w:styleId="Heading6">
    <w:name w:val="heading 6"/>
    <w:basedOn w:val="HeadingBase"/>
    <w:next w:val="Normal"/>
    <w:link w:val="Heading6Char"/>
    <w:qFormat/>
    <w:rsid w:val="00FC1F57"/>
    <w:pPr>
      <w:spacing w:before="60"/>
      <w:outlineLvl w:val="5"/>
    </w:pPr>
    <w:rPr>
      <w:color w:val="918585"/>
      <w:sz w:val="20"/>
    </w:rPr>
  </w:style>
  <w:style w:type="paragraph" w:styleId="Heading7">
    <w:name w:val="heading 7"/>
    <w:basedOn w:val="Normal"/>
    <w:next w:val="Normal"/>
    <w:link w:val="Heading7Char"/>
    <w:qFormat/>
    <w:rsid w:val="00FC1F57"/>
    <w:pPr>
      <w:ind w:left="720"/>
      <w:outlineLvl w:val="6"/>
    </w:pPr>
    <w:rPr>
      <w:i/>
    </w:rPr>
  </w:style>
  <w:style w:type="paragraph" w:styleId="Heading8">
    <w:name w:val="heading 8"/>
    <w:basedOn w:val="Normal"/>
    <w:next w:val="Normal"/>
    <w:link w:val="Heading8Char"/>
    <w:qFormat/>
    <w:rsid w:val="00FC1F57"/>
    <w:pPr>
      <w:ind w:left="720"/>
      <w:outlineLvl w:val="7"/>
    </w:pPr>
    <w:rPr>
      <w:i/>
    </w:rPr>
  </w:style>
  <w:style w:type="paragraph" w:styleId="Heading9">
    <w:name w:val="heading 9"/>
    <w:basedOn w:val="Normal"/>
    <w:next w:val="Normal"/>
    <w:link w:val="Heading9Char"/>
    <w:qFormat/>
    <w:rsid w:val="00FC1F57"/>
    <w:pPr>
      <w:ind w:left="720"/>
      <w:outlineLvl w:val="8"/>
    </w:pPr>
    <w:rPr>
      <w:i/>
    </w:rPr>
  </w:style>
  <w:style w:type="character" w:default="1" w:styleId="DefaultParagraphFont">
    <w:name w:val="Default Paragraph Font"/>
    <w:uiPriority w:val="1"/>
    <w:unhideWhenUsed/>
    <w:rsid w:val="00FC1F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F57"/>
  </w:style>
  <w:style w:type="character" w:customStyle="1" w:styleId="Heading1Char">
    <w:name w:val="Heading 1 Char"/>
    <w:basedOn w:val="DefaultParagraphFont"/>
    <w:link w:val="Heading1"/>
    <w:rsid w:val="00FC1F57"/>
    <w:rPr>
      <w:rFonts w:ascii="Times New Roman" w:eastAsia="Times New Roman" w:hAnsi="Times New Roman" w:cs="Times New Roman"/>
      <w:b/>
      <w:sz w:val="32"/>
      <w:szCs w:val="20"/>
      <w:lang w:eastAsia="en-US"/>
    </w:rPr>
  </w:style>
  <w:style w:type="paragraph" w:styleId="BodyText">
    <w:name w:val="Body Text"/>
    <w:basedOn w:val="Normal"/>
    <w:link w:val="BodyTextChar"/>
    <w:rsid w:val="00FC1F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1F57"/>
    <w:rPr>
      <w:rFonts w:ascii="Times New Roman" w:eastAsia="Times New Roman" w:hAnsi="Times New Roman" w:cs="Times New Roman"/>
      <w:sz w:val="24"/>
      <w:lang w:eastAsia="en-US"/>
    </w:rPr>
  </w:style>
  <w:style w:type="paragraph" w:styleId="ListBullet">
    <w:name w:val="List Bullet"/>
    <w:basedOn w:val="List"/>
    <w:rsid w:val="00FC1F57"/>
    <w:pPr>
      <w:numPr>
        <w:numId w:val="11"/>
      </w:numPr>
      <w:tabs>
        <w:tab w:val="clear" w:pos="340"/>
      </w:tabs>
      <w:spacing w:before="40" w:after="40"/>
    </w:pPr>
  </w:style>
  <w:style w:type="character" w:customStyle="1" w:styleId="SpecialBold">
    <w:name w:val="Special Bold"/>
    <w:basedOn w:val="DefaultParagraphFont"/>
    <w:rsid w:val="00FC1F57"/>
    <w:rPr>
      <w:b/>
      <w:spacing w:val="0"/>
    </w:rPr>
  </w:style>
  <w:style w:type="paragraph" w:customStyle="1" w:styleId="SuperHeading">
    <w:name w:val="SuperHeading"/>
    <w:basedOn w:val="Normal"/>
    <w:rsid w:val="00FC1F57"/>
    <w:pPr>
      <w:spacing w:before="240" w:after="120"/>
      <w:outlineLvl w:val="0"/>
    </w:pPr>
    <w:rPr>
      <w:rFonts w:ascii="Times New Roman" w:hAnsi="Times New Roman"/>
      <w:b/>
      <w:sz w:val="32"/>
    </w:rPr>
  </w:style>
  <w:style w:type="paragraph" w:customStyle="1" w:styleId="AllowPageBreak">
    <w:name w:val="AllowPageBreak"/>
    <w:rsid w:val="00FC1F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1F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F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F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F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F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F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1F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1F57"/>
    <w:rPr>
      <w:rFonts w:ascii="Courier New" w:eastAsia="Times New Roman" w:hAnsi="Courier New" w:cs="Times New Roman"/>
      <w:i/>
      <w:szCs w:val="20"/>
      <w:lang w:eastAsia="en-US"/>
    </w:rPr>
  </w:style>
  <w:style w:type="paragraph" w:customStyle="1" w:styleId="HeadingBase">
    <w:name w:val="Heading Base"/>
    <w:rsid w:val="00FC1F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F57"/>
    <w:pPr>
      <w:tabs>
        <w:tab w:val="right" w:leader="dot" w:pos="9072"/>
      </w:tabs>
      <w:ind w:left="567"/>
    </w:pPr>
    <w:rPr>
      <w:szCs w:val="22"/>
    </w:rPr>
  </w:style>
  <w:style w:type="paragraph" w:customStyle="1" w:styleId="TOCBase">
    <w:name w:val="TOC Base"/>
    <w:rsid w:val="00FC1F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F57"/>
    <w:pPr>
      <w:tabs>
        <w:tab w:val="right" w:leader="dot" w:pos="9072"/>
      </w:tabs>
      <w:spacing w:before="40" w:after="40"/>
      <w:ind w:left="284"/>
    </w:pPr>
    <w:rPr>
      <w:rFonts w:ascii="Times New Roman" w:hAnsi="Times New Roman"/>
    </w:rPr>
  </w:style>
  <w:style w:type="paragraph" w:styleId="TOC1">
    <w:name w:val="toc 1"/>
    <w:basedOn w:val="TOCBase"/>
    <w:next w:val="Normal"/>
    <w:rsid w:val="00FC1F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1F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F57"/>
    <w:rPr>
      <w:rFonts w:ascii="Times New Roman" w:eastAsia="Times New Roman" w:hAnsi="Times New Roman" w:cs="Times New Roman"/>
      <w:sz w:val="16"/>
      <w:lang w:eastAsia="en-US"/>
    </w:rPr>
  </w:style>
  <w:style w:type="paragraph" w:styleId="Title">
    <w:name w:val="Title"/>
    <w:basedOn w:val="HeadingBase"/>
    <w:link w:val="TitleChar"/>
    <w:qFormat/>
    <w:rsid w:val="00FC1F57"/>
    <w:pPr>
      <w:spacing w:before="5040"/>
      <w:jc w:val="center"/>
    </w:pPr>
    <w:rPr>
      <w:sz w:val="48"/>
      <w:szCs w:val="72"/>
      <w:lang w:val="en-US"/>
    </w:rPr>
  </w:style>
  <w:style w:type="character" w:customStyle="1" w:styleId="TitleChar">
    <w:name w:val="Title Char"/>
    <w:basedOn w:val="DefaultParagraphFont"/>
    <w:link w:val="Title"/>
    <w:rsid w:val="00FC1F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F57"/>
    <w:pPr>
      <w:tabs>
        <w:tab w:val="left" w:pos="3600"/>
        <w:tab w:val="left" w:pos="3958"/>
      </w:tabs>
    </w:pPr>
  </w:style>
  <w:style w:type="paragraph" w:styleId="List">
    <w:name w:val="List"/>
    <w:basedOn w:val="BodyText"/>
    <w:next w:val="BodyText"/>
    <w:rsid w:val="00FC1F57"/>
    <w:pPr>
      <w:tabs>
        <w:tab w:val="left" w:pos="340"/>
      </w:tabs>
      <w:spacing w:before="60" w:after="60"/>
      <w:ind w:left="340" w:hanging="340"/>
    </w:pPr>
  </w:style>
  <w:style w:type="paragraph" w:customStyle="1" w:styleId="Note">
    <w:name w:val="Note"/>
    <w:basedOn w:val="BodyText"/>
    <w:rsid w:val="00FC1F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F57"/>
    <w:pPr>
      <w:framePr w:wrap="auto" w:hAnchor="text" w:y="6049"/>
    </w:pPr>
    <w:rPr>
      <w:color w:val="000000"/>
      <w:sz w:val="40"/>
    </w:rPr>
  </w:style>
  <w:style w:type="paragraph" w:customStyle="1" w:styleId="TOCTitle">
    <w:name w:val="TOCTitle"/>
    <w:basedOn w:val="Heading1"/>
    <w:rsid w:val="00FC1F57"/>
    <w:pPr>
      <w:spacing w:after="240"/>
      <w:jc w:val="center"/>
      <w:outlineLvl w:val="9"/>
    </w:pPr>
    <w:rPr>
      <w:caps/>
    </w:rPr>
  </w:style>
  <w:style w:type="paragraph" w:customStyle="1" w:styleId="Version">
    <w:name w:val="Version"/>
    <w:rsid w:val="00FC1F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1F57"/>
    <w:pPr>
      <w:numPr>
        <w:numId w:val="12"/>
      </w:numPr>
      <w:tabs>
        <w:tab w:val="clear" w:pos="680"/>
      </w:tabs>
    </w:pPr>
  </w:style>
  <w:style w:type="paragraph" w:styleId="Index1">
    <w:name w:val="index 1"/>
    <w:basedOn w:val="Normal"/>
    <w:next w:val="Normal"/>
    <w:semiHidden/>
    <w:rsid w:val="00FC1F57"/>
    <w:pPr>
      <w:keepNext w:val="0"/>
      <w:tabs>
        <w:tab w:val="right" w:pos="4176"/>
      </w:tabs>
      <w:ind w:left="198" w:hanging="198"/>
    </w:pPr>
    <w:rPr>
      <w:rFonts w:ascii="Garamond" w:hAnsi="Garamond"/>
    </w:rPr>
  </w:style>
  <w:style w:type="paragraph" w:styleId="IndexHeading">
    <w:name w:val="index heading"/>
    <w:basedOn w:val="Normal"/>
    <w:next w:val="Index1"/>
    <w:semiHidden/>
    <w:rsid w:val="00FC1F57"/>
    <w:pPr>
      <w:spacing w:before="120" w:after="120"/>
    </w:pPr>
    <w:rPr>
      <w:rFonts w:ascii="Arial" w:hAnsi="Arial"/>
      <w:b/>
      <w:color w:val="918585"/>
      <w:sz w:val="24"/>
    </w:rPr>
  </w:style>
  <w:style w:type="paragraph" w:styleId="Header">
    <w:name w:val="header"/>
    <w:basedOn w:val="Normal"/>
    <w:link w:val="HeaderChar"/>
    <w:rsid w:val="00FC1F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F57"/>
    <w:rPr>
      <w:rFonts w:ascii="Times New Roman" w:eastAsia="Times New Roman" w:hAnsi="Times New Roman" w:cs="Times New Roman"/>
      <w:sz w:val="16"/>
      <w:szCs w:val="20"/>
      <w:lang w:val="en-GB" w:eastAsia="en-US"/>
    </w:rPr>
  </w:style>
  <w:style w:type="paragraph" w:customStyle="1" w:styleId="Chapter">
    <w:name w:val="Chapter"/>
    <w:basedOn w:val="Normal"/>
    <w:rsid w:val="00FC1F57"/>
    <w:pPr>
      <w:spacing w:before="240"/>
    </w:pPr>
    <w:rPr>
      <w:rFonts w:ascii="Times New Roman" w:hAnsi="Times New Roman"/>
      <w:smallCaps/>
      <w:spacing w:val="80"/>
      <w:sz w:val="28"/>
    </w:rPr>
  </w:style>
  <w:style w:type="paragraph" w:customStyle="1" w:styleId="InChapter">
    <w:name w:val="InChapter"/>
    <w:basedOn w:val="Heading3"/>
    <w:rsid w:val="00FC1F57"/>
    <w:pPr>
      <w:spacing w:after="240"/>
      <w:outlineLvl w:val="9"/>
    </w:pPr>
    <w:rPr>
      <w:noProof/>
    </w:rPr>
  </w:style>
  <w:style w:type="paragraph" w:styleId="Index2">
    <w:name w:val="index 2"/>
    <w:basedOn w:val="Normal"/>
    <w:next w:val="Normal"/>
    <w:semiHidden/>
    <w:rsid w:val="00FC1F57"/>
    <w:pPr>
      <w:tabs>
        <w:tab w:val="right" w:pos="4176"/>
      </w:tabs>
      <w:ind w:left="568" w:hanging="284"/>
    </w:pPr>
    <w:rPr>
      <w:rFonts w:ascii="Garamond" w:hAnsi="Garamond"/>
    </w:rPr>
  </w:style>
  <w:style w:type="paragraph" w:customStyle="1" w:styleId="Byline">
    <w:name w:val="Byline"/>
    <w:rsid w:val="00FC1F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F57"/>
    <w:pPr>
      <w:tabs>
        <w:tab w:val="clear" w:pos="3600"/>
        <w:tab w:val="clear" w:pos="3958"/>
      </w:tabs>
      <w:jc w:val="right"/>
    </w:pPr>
  </w:style>
  <w:style w:type="character" w:styleId="Emphasis">
    <w:name w:val="Emphasis"/>
    <w:basedOn w:val="DefaultParagraphFont"/>
    <w:qFormat/>
    <w:rsid w:val="00FC1F57"/>
    <w:rPr>
      <w:i/>
    </w:rPr>
  </w:style>
  <w:style w:type="paragraph" w:styleId="Caption">
    <w:name w:val="caption"/>
    <w:basedOn w:val="BodyText"/>
    <w:next w:val="Normal"/>
    <w:qFormat/>
    <w:rsid w:val="00FC1F57"/>
    <w:pPr>
      <w:framePr w:w="2268" w:hSpace="181" w:vSpace="181" w:wrap="around" w:vAnchor="text" w:hAnchor="page" w:x="1135" w:y="285" w:anchorLock="1"/>
    </w:pPr>
    <w:rPr>
      <w:i/>
    </w:rPr>
  </w:style>
  <w:style w:type="paragraph" w:customStyle="1" w:styleId="MiniTOCTitle">
    <w:name w:val="MiniTOCTitle"/>
    <w:basedOn w:val="Heading4"/>
    <w:rsid w:val="00FC1F57"/>
    <w:pPr>
      <w:spacing w:before="240"/>
      <w:outlineLvl w:val="9"/>
    </w:pPr>
    <w:rPr>
      <w:noProof/>
      <w:sz w:val="24"/>
    </w:rPr>
  </w:style>
  <w:style w:type="paragraph" w:customStyle="1" w:styleId="MiniTOCItem">
    <w:name w:val="MiniTOCItem"/>
    <w:basedOn w:val="ListBullet"/>
    <w:rsid w:val="00FC1F57"/>
    <w:pPr>
      <w:numPr>
        <w:numId w:val="0"/>
      </w:numPr>
      <w:tabs>
        <w:tab w:val="right" w:leader="dot" w:pos="6521"/>
      </w:tabs>
      <w:spacing w:before="0" w:after="0"/>
    </w:pPr>
  </w:style>
  <w:style w:type="paragraph" w:customStyle="1" w:styleId="TOFTitle">
    <w:name w:val="TOFTitle"/>
    <w:basedOn w:val="TOCTitle"/>
    <w:rsid w:val="00FC1F57"/>
  </w:style>
  <w:style w:type="paragraph" w:styleId="TableofFigures">
    <w:name w:val="table of figures"/>
    <w:basedOn w:val="Normal"/>
    <w:next w:val="Normal"/>
    <w:semiHidden/>
    <w:rsid w:val="00FC1F57"/>
    <w:pPr>
      <w:tabs>
        <w:tab w:val="right" w:leader="dot" w:pos="9072"/>
      </w:tabs>
      <w:ind w:left="970" w:hanging="403"/>
    </w:pPr>
    <w:rPr>
      <w:rFonts w:ascii="Times New Roman" w:hAnsi="Times New Roman"/>
      <w:b/>
    </w:rPr>
  </w:style>
  <w:style w:type="paragraph" w:styleId="ListNumber">
    <w:name w:val="List Number"/>
    <w:basedOn w:val="List"/>
    <w:rsid w:val="00FC1F57"/>
    <w:pPr>
      <w:numPr>
        <w:numId w:val="14"/>
      </w:numPr>
      <w:tabs>
        <w:tab w:val="clear" w:pos="340"/>
      </w:tabs>
    </w:pPr>
  </w:style>
  <w:style w:type="character" w:customStyle="1" w:styleId="WingdingSymbols">
    <w:name w:val="Wingding Symbols"/>
    <w:rsid w:val="00FC1F57"/>
    <w:rPr>
      <w:rFonts w:ascii="Wingdings" w:hAnsi="Wingdings"/>
    </w:rPr>
  </w:style>
  <w:style w:type="paragraph" w:customStyle="1" w:styleId="TableHeading">
    <w:name w:val="Table Heading"/>
    <w:basedOn w:val="HeadingBase"/>
    <w:rsid w:val="00FC1F57"/>
    <w:pPr>
      <w:keepLines/>
      <w:pBdr>
        <w:bottom w:val="single" w:sz="6" w:space="1" w:color="918585"/>
      </w:pBdr>
      <w:spacing w:before="240"/>
    </w:pPr>
  </w:style>
  <w:style w:type="character" w:customStyle="1" w:styleId="HotSpot">
    <w:name w:val="HotSpot"/>
    <w:rsid w:val="00FC1F57"/>
    <w:rPr>
      <w:color w:val="0033CC"/>
      <w:u w:val="none"/>
    </w:rPr>
  </w:style>
  <w:style w:type="paragraph" w:customStyle="1" w:styleId="BodyTextRight">
    <w:name w:val="Body Text Right"/>
    <w:basedOn w:val="BodyText"/>
    <w:rsid w:val="00FC1F57"/>
    <w:pPr>
      <w:spacing w:before="0" w:after="0"/>
      <w:jc w:val="right"/>
    </w:pPr>
  </w:style>
  <w:style w:type="paragraph" w:styleId="Index3">
    <w:name w:val="index 3"/>
    <w:basedOn w:val="ListNumber2"/>
    <w:next w:val="Normal"/>
    <w:semiHidden/>
    <w:rsid w:val="00FC1F57"/>
    <w:pPr>
      <w:numPr>
        <w:numId w:val="0"/>
      </w:numPr>
      <w:tabs>
        <w:tab w:val="right" w:leader="dot" w:pos="4176"/>
      </w:tabs>
    </w:pPr>
  </w:style>
  <w:style w:type="paragraph" w:styleId="ListNumber2">
    <w:name w:val="List Number 2"/>
    <w:basedOn w:val="List2"/>
    <w:rsid w:val="00FC1F57"/>
    <w:pPr>
      <w:numPr>
        <w:numId w:val="9"/>
      </w:numPr>
      <w:tabs>
        <w:tab w:val="clear" w:pos="1060"/>
      </w:tabs>
    </w:pPr>
  </w:style>
  <w:style w:type="paragraph" w:customStyle="1" w:styleId="MarginNote">
    <w:name w:val="Margin Note"/>
    <w:basedOn w:val="BodyText"/>
    <w:rsid w:val="00FC1F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F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F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1F57"/>
    <w:rPr>
      <w:sz w:val="32"/>
    </w:rPr>
  </w:style>
  <w:style w:type="paragraph" w:customStyle="1" w:styleId="HeadingProcedure">
    <w:name w:val="Heading Procedure"/>
    <w:basedOn w:val="HeadingBase"/>
    <w:next w:val="Normal"/>
    <w:rsid w:val="00FC1F57"/>
    <w:pPr>
      <w:tabs>
        <w:tab w:val="left" w:pos="0"/>
      </w:tabs>
      <w:spacing w:before="120" w:after="60"/>
    </w:pPr>
    <w:rPr>
      <w:i/>
      <w:color w:val="918585"/>
      <w:sz w:val="22"/>
    </w:rPr>
  </w:style>
  <w:style w:type="paragraph" w:customStyle="1" w:styleId="TableBodyText">
    <w:name w:val="Table Body Text"/>
    <w:basedOn w:val="BodyText"/>
    <w:rsid w:val="00FC1F57"/>
    <w:pPr>
      <w:spacing w:before="60" w:after="60"/>
    </w:pPr>
  </w:style>
  <w:style w:type="paragraph" w:styleId="ListContinue">
    <w:name w:val="List Continue"/>
    <w:basedOn w:val="List"/>
    <w:rsid w:val="00FC1F57"/>
    <w:pPr>
      <w:ind w:firstLine="0"/>
    </w:pPr>
  </w:style>
  <w:style w:type="paragraph" w:customStyle="1" w:styleId="ListNote">
    <w:name w:val="List Note"/>
    <w:basedOn w:val="List"/>
    <w:rsid w:val="00FC1F57"/>
    <w:pPr>
      <w:pBdr>
        <w:top w:val="single" w:sz="6" w:space="2" w:color="918585"/>
        <w:bottom w:val="single" w:sz="6" w:space="2" w:color="918585"/>
      </w:pBdr>
      <w:tabs>
        <w:tab w:val="left" w:pos="1021"/>
      </w:tabs>
      <w:ind w:firstLine="0"/>
    </w:pPr>
  </w:style>
  <w:style w:type="paragraph" w:customStyle="1" w:styleId="Warning">
    <w:name w:val="Warning"/>
    <w:basedOn w:val="BodyText"/>
    <w:rsid w:val="00FC1F57"/>
    <w:pPr>
      <w:shd w:val="clear" w:color="auto" w:fill="D9D9D9"/>
      <w:tabs>
        <w:tab w:val="left" w:pos="992"/>
      </w:tabs>
      <w:ind w:left="119" w:right="119"/>
    </w:pPr>
    <w:rPr>
      <w:sz w:val="20"/>
    </w:rPr>
  </w:style>
  <w:style w:type="paragraph" w:customStyle="1" w:styleId="MarginIcons">
    <w:name w:val="Margin Icons"/>
    <w:basedOn w:val="BodyText"/>
    <w:rsid w:val="00FC1F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F57"/>
    <w:rPr>
      <w:rFonts w:ascii="Courier New" w:hAnsi="Courier New"/>
    </w:rPr>
  </w:style>
  <w:style w:type="paragraph" w:customStyle="1" w:styleId="NoteBullet">
    <w:name w:val="Note Bullet"/>
    <w:basedOn w:val="Note"/>
    <w:rsid w:val="00FC1F57"/>
    <w:pPr>
      <w:tabs>
        <w:tab w:val="clear" w:pos="680"/>
      </w:tabs>
      <w:spacing w:before="60" w:after="60"/>
    </w:pPr>
  </w:style>
  <w:style w:type="paragraph" w:customStyle="1" w:styleId="SubHeading2">
    <w:name w:val="SubHeading2"/>
    <w:basedOn w:val="HeadingBase"/>
    <w:rsid w:val="00FC1F57"/>
    <w:pPr>
      <w:spacing w:before="240" w:after="60"/>
    </w:pPr>
    <w:rPr>
      <w:sz w:val="20"/>
    </w:rPr>
  </w:style>
  <w:style w:type="paragraph" w:customStyle="1" w:styleId="SubHeading1">
    <w:name w:val="SubHeading1"/>
    <w:basedOn w:val="HeadingBase"/>
    <w:rsid w:val="00FC1F57"/>
    <w:pPr>
      <w:spacing w:before="240" w:after="60"/>
    </w:pPr>
    <w:rPr>
      <w:color w:val="918585"/>
      <w:sz w:val="22"/>
    </w:rPr>
  </w:style>
  <w:style w:type="paragraph" w:customStyle="1" w:styleId="SideHeading">
    <w:name w:val="Side Heading"/>
    <w:basedOn w:val="HeadingBase"/>
    <w:rsid w:val="00FC1F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F57"/>
    <w:pPr>
      <w:numPr>
        <w:numId w:val="10"/>
      </w:numPr>
    </w:pPr>
  </w:style>
  <w:style w:type="paragraph" w:styleId="PlainText">
    <w:name w:val="Plain Text"/>
    <w:basedOn w:val="Normal"/>
    <w:link w:val="PlainTextChar"/>
    <w:rsid w:val="00FC1F57"/>
    <w:rPr>
      <w:sz w:val="20"/>
    </w:rPr>
  </w:style>
  <w:style w:type="character" w:customStyle="1" w:styleId="PlainTextChar">
    <w:name w:val="Plain Text Char"/>
    <w:basedOn w:val="DefaultParagraphFont"/>
    <w:link w:val="PlainText"/>
    <w:rsid w:val="00FC1F57"/>
    <w:rPr>
      <w:rFonts w:ascii="Courier New" w:eastAsia="Times New Roman" w:hAnsi="Courier New" w:cs="Times New Roman"/>
      <w:sz w:val="20"/>
      <w:szCs w:val="20"/>
      <w:lang w:eastAsia="en-US"/>
    </w:rPr>
  </w:style>
  <w:style w:type="character" w:customStyle="1" w:styleId="MenuOption">
    <w:name w:val="Menu Option"/>
    <w:basedOn w:val="DefaultParagraphFont"/>
    <w:rsid w:val="00FC1F57"/>
    <w:rPr>
      <w:b/>
      <w:smallCaps/>
    </w:rPr>
  </w:style>
  <w:style w:type="paragraph" w:customStyle="1" w:styleId="TableListNumber">
    <w:name w:val="Table List Number"/>
    <w:basedOn w:val="ListNumber"/>
    <w:rsid w:val="00FC1F57"/>
    <w:pPr>
      <w:numPr>
        <w:numId w:val="0"/>
      </w:numPr>
    </w:pPr>
  </w:style>
  <w:style w:type="paragraph" w:styleId="TOC4">
    <w:name w:val="toc 4"/>
    <w:basedOn w:val="TOCBase"/>
    <w:next w:val="Normal"/>
    <w:semiHidden/>
    <w:rsid w:val="00FC1F57"/>
    <w:pPr>
      <w:tabs>
        <w:tab w:val="right" w:leader="dot" w:pos="9071"/>
      </w:tabs>
      <w:ind w:left="1701"/>
    </w:pPr>
  </w:style>
  <w:style w:type="paragraph" w:customStyle="1" w:styleId="ListAlpha">
    <w:name w:val="List Alpha"/>
    <w:basedOn w:val="List"/>
    <w:rsid w:val="00FC1F57"/>
    <w:pPr>
      <w:numPr>
        <w:numId w:val="8"/>
      </w:numPr>
    </w:pPr>
  </w:style>
  <w:style w:type="paragraph" w:customStyle="1" w:styleId="ListAlpha2">
    <w:name w:val="List Alpha 2"/>
    <w:basedOn w:val="List2"/>
    <w:rsid w:val="00FC1F57"/>
    <w:pPr>
      <w:numPr>
        <w:numId w:val="7"/>
      </w:numPr>
    </w:pPr>
  </w:style>
  <w:style w:type="paragraph" w:styleId="List2">
    <w:name w:val="List 2"/>
    <w:basedOn w:val="BodyText"/>
    <w:rsid w:val="00FC1F57"/>
    <w:pPr>
      <w:tabs>
        <w:tab w:val="left" w:pos="680"/>
      </w:tabs>
      <w:spacing w:before="60" w:after="60"/>
      <w:ind w:left="680" w:hanging="340"/>
    </w:pPr>
  </w:style>
  <w:style w:type="paragraph" w:styleId="List3">
    <w:name w:val="List 3"/>
    <w:basedOn w:val="BodyText"/>
    <w:rsid w:val="00FC1F57"/>
    <w:pPr>
      <w:tabs>
        <w:tab w:val="left" w:pos="1021"/>
      </w:tabs>
      <w:spacing w:before="60" w:after="60"/>
      <w:ind w:left="1020" w:hanging="340"/>
    </w:pPr>
  </w:style>
  <w:style w:type="paragraph" w:styleId="List4">
    <w:name w:val="List 4"/>
    <w:basedOn w:val="BodyText"/>
    <w:rsid w:val="00FC1F57"/>
    <w:pPr>
      <w:tabs>
        <w:tab w:val="left" w:pos="1361"/>
      </w:tabs>
      <w:spacing w:before="60" w:after="60"/>
      <w:ind w:left="1361" w:hanging="340"/>
    </w:pPr>
  </w:style>
  <w:style w:type="paragraph" w:styleId="List5">
    <w:name w:val="List 5"/>
    <w:basedOn w:val="BodyText"/>
    <w:rsid w:val="00FC1F57"/>
    <w:pPr>
      <w:tabs>
        <w:tab w:val="left" w:pos="1701"/>
      </w:tabs>
      <w:spacing w:before="60" w:after="60"/>
      <w:ind w:left="1701" w:hanging="340"/>
    </w:pPr>
  </w:style>
  <w:style w:type="paragraph" w:styleId="ListBullet3">
    <w:name w:val="List Bullet 3"/>
    <w:basedOn w:val="List3"/>
    <w:rsid w:val="00FC1F57"/>
    <w:pPr>
      <w:numPr>
        <w:numId w:val="13"/>
      </w:numPr>
      <w:tabs>
        <w:tab w:val="clear" w:pos="1021"/>
      </w:tabs>
      <w:ind w:left="1037" w:hanging="357"/>
    </w:pPr>
  </w:style>
  <w:style w:type="paragraph" w:styleId="ListBullet4">
    <w:name w:val="List Bullet 4"/>
    <w:basedOn w:val="List4"/>
    <w:rsid w:val="00FC1F57"/>
    <w:pPr>
      <w:numPr>
        <w:numId w:val="2"/>
      </w:numPr>
      <w:tabs>
        <w:tab w:val="clear" w:pos="1361"/>
      </w:tabs>
    </w:pPr>
  </w:style>
  <w:style w:type="paragraph" w:styleId="ListBullet5">
    <w:name w:val="List Bullet 5"/>
    <w:basedOn w:val="List5"/>
    <w:rsid w:val="00FC1F57"/>
    <w:pPr>
      <w:numPr>
        <w:numId w:val="3"/>
      </w:numPr>
    </w:pPr>
  </w:style>
  <w:style w:type="paragraph" w:styleId="ListContinue2">
    <w:name w:val="List Continue 2"/>
    <w:basedOn w:val="List2"/>
    <w:rsid w:val="00FC1F57"/>
    <w:pPr>
      <w:ind w:firstLine="0"/>
    </w:pPr>
  </w:style>
  <w:style w:type="paragraph" w:styleId="ListContinue3">
    <w:name w:val="List Continue 3"/>
    <w:basedOn w:val="List3"/>
    <w:rsid w:val="00FC1F57"/>
    <w:pPr>
      <w:ind w:left="1021" w:firstLine="0"/>
    </w:pPr>
  </w:style>
  <w:style w:type="paragraph" w:styleId="ListContinue4">
    <w:name w:val="List Continue 4"/>
    <w:basedOn w:val="List4"/>
    <w:rsid w:val="00FC1F57"/>
    <w:pPr>
      <w:ind w:firstLine="0"/>
    </w:pPr>
  </w:style>
  <w:style w:type="paragraph" w:styleId="ListContinue5">
    <w:name w:val="List Continue 5"/>
    <w:basedOn w:val="List5"/>
    <w:rsid w:val="00FC1F57"/>
    <w:pPr>
      <w:ind w:firstLine="0"/>
    </w:pPr>
  </w:style>
  <w:style w:type="paragraph" w:styleId="ListNumber3">
    <w:name w:val="List Number 3"/>
    <w:basedOn w:val="List3"/>
    <w:rsid w:val="00FC1F57"/>
    <w:pPr>
      <w:numPr>
        <w:numId w:val="4"/>
      </w:numPr>
    </w:pPr>
  </w:style>
  <w:style w:type="paragraph" w:styleId="ListNumber4">
    <w:name w:val="List Number 4"/>
    <w:basedOn w:val="List4"/>
    <w:rsid w:val="00FC1F57"/>
    <w:pPr>
      <w:numPr>
        <w:numId w:val="5"/>
      </w:numPr>
    </w:pPr>
  </w:style>
  <w:style w:type="paragraph" w:styleId="ListNumber5">
    <w:name w:val="List Number 5"/>
    <w:basedOn w:val="List5"/>
    <w:rsid w:val="00FC1F57"/>
    <w:pPr>
      <w:numPr>
        <w:numId w:val="6"/>
      </w:numPr>
    </w:pPr>
  </w:style>
  <w:style w:type="paragraph" w:styleId="BlockText">
    <w:name w:val="Block Text"/>
    <w:basedOn w:val="Normal"/>
    <w:rsid w:val="00FC1F57"/>
    <w:pPr>
      <w:spacing w:after="120"/>
      <w:ind w:left="1440" w:right="1440"/>
    </w:pPr>
  </w:style>
  <w:style w:type="character" w:customStyle="1" w:styleId="Subscript">
    <w:name w:val="Subscript"/>
    <w:basedOn w:val="DefaultParagraphFont"/>
    <w:rsid w:val="00FC1F57"/>
    <w:rPr>
      <w:sz w:val="16"/>
      <w:vertAlign w:val="subscript"/>
    </w:rPr>
  </w:style>
  <w:style w:type="character" w:customStyle="1" w:styleId="Superscript">
    <w:name w:val="Superscript"/>
    <w:basedOn w:val="DefaultParagraphFont"/>
    <w:rsid w:val="00FC1F57"/>
    <w:rPr>
      <w:sz w:val="16"/>
      <w:vertAlign w:val="superscript"/>
    </w:rPr>
  </w:style>
  <w:style w:type="character" w:customStyle="1" w:styleId="Symbols">
    <w:name w:val="Symbols"/>
    <w:basedOn w:val="DefaultParagraphFont"/>
    <w:rsid w:val="00FC1F57"/>
    <w:rPr>
      <w:rFonts w:ascii="Symbol" w:hAnsi="Symbol"/>
    </w:rPr>
  </w:style>
  <w:style w:type="character" w:customStyle="1" w:styleId="MenuOptions">
    <w:name w:val="Menu Options"/>
    <w:basedOn w:val="DefaultParagraphFont"/>
    <w:rsid w:val="00FC1F57"/>
    <w:rPr>
      <w:rFonts w:ascii="Arial Narrow" w:hAnsi="Arial Narrow"/>
      <w:smallCaps/>
    </w:rPr>
  </w:style>
  <w:style w:type="character" w:customStyle="1" w:styleId="Buttons">
    <w:name w:val="Buttons"/>
    <w:basedOn w:val="DefaultParagraphFont"/>
    <w:rsid w:val="00FC1F57"/>
    <w:rPr>
      <w:b/>
    </w:rPr>
  </w:style>
  <w:style w:type="character" w:customStyle="1" w:styleId="Underlined">
    <w:name w:val="Underlined"/>
    <w:basedOn w:val="DefaultParagraphFont"/>
    <w:rsid w:val="00FC1F57"/>
    <w:rPr>
      <w:u w:val="single"/>
    </w:rPr>
  </w:style>
  <w:style w:type="paragraph" w:customStyle="1" w:styleId="TableBodyTextRight">
    <w:name w:val="Table Body Text Right"/>
    <w:basedOn w:val="TableBodyText"/>
    <w:rsid w:val="00FC1F57"/>
    <w:pPr>
      <w:widowControl w:val="0"/>
      <w:autoSpaceDE w:val="0"/>
      <w:autoSpaceDN w:val="0"/>
      <w:adjustRightInd w:val="0"/>
      <w:jc w:val="right"/>
    </w:pPr>
    <w:rPr>
      <w:rFonts w:cs="Arial"/>
      <w:szCs w:val="18"/>
    </w:rPr>
  </w:style>
  <w:style w:type="paragraph" w:customStyle="1" w:styleId="CopyrightText">
    <w:name w:val="Copyright Text"/>
    <w:basedOn w:val="BodyText"/>
    <w:rsid w:val="00FC1F57"/>
    <w:rPr>
      <w:sz w:val="18"/>
    </w:rPr>
  </w:style>
  <w:style w:type="paragraph" w:customStyle="1" w:styleId="BodySmallRight">
    <w:name w:val="Body Small Right"/>
    <w:basedOn w:val="BodyTextRight"/>
    <w:rsid w:val="00FC1F57"/>
    <w:rPr>
      <w:sz w:val="18"/>
      <w:szCs w:val="18"/>
    </w:rPr>
  </w:style>
  <w:style w:type="paragraph" w:customStyle="1" w:styleId="MarginEdition">
    <w:name w:val="Margin Edition"/>
    <w:basedOn w:val="MarginNote"/>
    <w:rsid w:val="00FC1F57"/>
    <w:pPr>
      <w:spacing w:before="0" w:after="0"/>
    </w:pPr>
    <w:rPr>
      <w:rFonts w:ascii="Times New Roman" w:hAnsi="Times New Roman"/>
      <w:color w:val="999999"/>
    </w:rPr>
  </w:style>
  <w:style w:type="paragraph" w:customStyle="1" w:styleId="Spacer">
    <w:name w:val="Spacer"/>
    <w:basedOn w:val="Normal"/>
    <w:rsid w:val="00FC1F57"/>
    <w:rPr>
      <w:sz w:val="2"/>
      <w:szCs w:val="2"/>
    </w:rPr>
  </w:style>
  <w:style w:type="character" w:customStyle="1" w:styleId="Small">
    <w:name w:val="Small"/>
    <w:basedOn w:val="DefaultParagraphFont"/>
    <w:rsid w:val="00FC1F57"/>
    <w:rPr>
      <w:sz w:val="16"/>
    </w:rPr>
  </w:style>
  <w:style w:type="paragraph" w:customStyle="1" w:styleId="WideTable">
    <w:name w:val="Wide Table"/>
    <w:basedOn w:val="Normal"/>
    <w:rsid w:val="00FC1F57"/>
    <w:pPr>
      <w:ind w:left="-1418"/>
    </w:pPr>
    <w:rPr>
      <w:sz w:val="2"/>
      <w:szCs w:val="2"/>
    </w:rPr>
  </w:style>
  <w:style w:type="character" w:styleId="PageNumber">
    <w:name w:val="page number"/>
    <w:basedOn w:val="DefaultParagraphFont"/>
    <w:rsid w:val="00FC1F57"/>
  </w:style>
  <w:style w:type="paragraph" w:styleId="Quote">
    <w:name w:val="Quote"/>
    <w:basedOn w:val="Heading1"/>
    <w:link w:val="QuoteChar"/>
    <w:qFormat/>
    <w:rsid w:val="00FC1F57"/>
    <w:rPr>
      <w:b w:val="0"/>
      <w:sz w:val="72"/>
      <w:szCs w:val="72"/>
      <w:lang w:val="en-NZ"/>
    </w:rPr>
  </w:style>
  <w:style w:type="character" w:customStyle="1" w:styleId="QuoteChar">
    <w:name w:val="Quote Char"/>
    <w:basedOn w:val="DefaultParagraphFont"/>
    <w:link w:val="Quote"/>
    <w:rsid w:val="00FC1F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F57"/>
    <w:pPr>
      <w:pageBreakBefore/>
    </w:pPr>
  </w:style>
  <w:style w:type="paragraph" w:customStyle="1" w:styleId="Border">
    <w:name w:val="Border"/>
    <w:basedOn w:val="Normal"/>
    <w:qFormat/>
    <w:rsid w:val="00FC1F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F57"/>
    <w:rPr>
      <w:b/>
      <w:bCs/>
      <w:i/>
      <w:iCs/>
      <w:color w:val="auto"/>
    </w:rPr>
  </w:style>
  <w:style w:type="paragraph" w:styleId="IntenseQuote">
    <w:name w:val="Intense Quote"/>
    <w:basedOn w:val="Normal"/>
    <w:next w:val="Normal"/>
    <w:link w:val="IntenseQuoteChar"/>
    <w:uiPriority w:val="30"/>
    <w:qFormat/>
    <w:rsid w:val="00FC1F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F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1F57"/>
    <w:rPr>
      <w:smallCaps/>
      <w:color w:val="auto"/>
      <w:u w:val="single"/>
    </w:rPr>
  </w:style>
  <w:style w:type="character" w:styleId="IntenseReference">
    <w:name w:val="Intense Reference"/>
    <w:basedOn w:val="DefaultParagraphFont"/>
    <w:uiPriority w:val="32"/>
    <w:qFormat/>
    <w:rsid w:val="00FC1F57"/>
    <w:rPr>
      <w:b/>
      <w:bCs/>
      <w:smallCaps/>
      <w:color w:val="auto"/>
      <w:spacing w:val="5"/>
      <w:u w:val="single"/>
    </w:rPr>
  </w:style>
  <w:style w:type="paragraph" w:customStyle="1" w:styleId="2ColumnHeading">
    <w:name w:val="2Column Heading"/>
    <w:basedOn w:val="BodyText"/>
    <w:qFormat/>
    <w:rsid w:val="00FC1F57"/>
    <w:pPr>
      <w:spacing w:after="60"/>
      <w:ind w:left="-2268"/>
    </w:pPr>
    <w:rPr>
      <w:b/>
    </w:rPr>
  </w:style>
  <w:style w:type="paragraph" w:customStyle="1" w:styleId="Heading1TOC">
    <w:name w:val="Heading1 TOC"/>
    <w:basedOn w:val="Normal"/>
    <w:qFormat/>
    <w:rsid w:val="00FC1F57"/>
    <w:pPr>
      <w:spacing w:before="240" w:after="120"/>
    </w:pPr>
    <w:rPr>
      <w:rFonts w:ascii="Times New Roman" w:hAnsi="Times New Roman"/>
      <w:b/>
      <w:sz w:val="32"/>
    </w:rPr>
  </w:style>
  <w:style w:type="paragraph" w:customStyle="1" w:styleId="Heading2TOC">
    <w:name w:val="Heading2 TOC"/>
    <w:basedOn w:val="Normal"/>
    <w:qFormat/>
    <w:rsid w:val="00FC1F57"/>
    <w:pPr>
      <w:spacing w:before="240" w:after="60"/>
    </w:pPr>
    <w:rPr>
      <w:rFonts w:ascii="Times New Roman" w:hAnsi="Times New Roman"/>
      <w:b/>
      <w:sz w:val="28"/>
    </w:rPr>
  </w:style>
  <w:style w:type="character" w:customStyle="1" w:styleId="Underline">
    <w:name w:val="Underline"/>
    <w:basedOn w:val="DefaultParagraphFont"/>
    <w:qFormat/>
    <w:rsid w:val="00FC1F57"/>
    <w:rPr>
      <w:u w:val="single"/>
    </w:rPr>
  </w:style>
  <w:style w:type="character" w:customStyle="1" w:styleId="BoldandItalics">
    <w:name w:val="Bold and Italics"/>
    <w:qFormat/>
    <w:rsid w:val="00FC1F57"/>
    <w:rPr>
      <w:b/>
      <w:i/>
      <w:u w:val="none"/>
    </w:rPr>
  </w:style>
  <w:style w:type="paragraph" w:styleId="BalloonText">
    <w:name w:val="Balloon Text"/>
    <w:basedOn w:val="Normal"/>
    <w:link w:val="BalloonTextChar"/>
    <w:rsid w:val="00FC1F57"/>
    <w:rPr>
      <w:rFonts w:ascii="Tahoma" w:hAnsi="Tahoma" w:cs="Tahoma"/>
      <w:sz w:val="16"/>
      <w:szCs w:val="16"/>
    </w:rPr>
  </w:style>
  <w:style w:type="character" w:customStyle="1" w:styleId="BalloonTextChar">
    <w:name w:val="Balloon Text Char"/>
    <w:basedOn w:val="DefaultParagraphFont"/>
    <w:link w:val="BalloonText"/>
    <w:rsid w:val="00FC1F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1F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1F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1F57"/>
    <w:rPr>
      <w:b/>
      <w:color w:val="660033"/>
      <w:spacing w:val="0"/>
    </w:rPr>
  </w:style>
  <w:style w:type="paragraph" w:customStyle="1" w:styleId="Nameditemlist">
    <w:name w:val="Named item list"/>
    <w:basedOn w:val="BodyText"/>
    <w:qFormat/>
    <w:rsid w:val="00FC1F57"/>
    <w:pPr>
      <w:tabs>
        <w:tab w:val="left" w:pos="2835"/>
      </w:tabs>
      <w:ind w:left="2835" w:hanging="2835"/>
    </w:pPr>
  </w:style>
  <w:style w:type="paragraph" w:customStyle="1" w:styleId="BodyTextnopadding">
    <w:name w:val="Body Text no padding"/>
    <w:basedOn w:val="BodyText"/>
    <w:qFormat/>
    <w:rsid w:val="00FC1F57"/>
    <w:pPr>
      <w:spacing w:before="0" w:after="0"/>
    </w:pPr>
  </w:style>
  <w:style w:type="paragraph" w:customStyle="1" w:styleId="BodyTextBold">
    <w:name w:val="Body Text Bold"/>
    <w:basedOn w:val="BodyText"/>
    <w:qFormat/>
    <w:rsid w:val="00FC1F57"/>
    <w:rPr>
      <w:b/>
    </w:rPr>
  </w:style>
  <w:style w:type="character" w:styleId="Hyperlink">
    <w:name w:val="Hyperlink"/>
    <w:basedOn w:val="DefaultParagraphFont"/>
    <w:uiPriority w:val="99"/>
    <w:unhideWhenUsed/>
    <w:rsid w:val="00A840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5927</Characters>
  <Application>Microsoft Office Word</Application>
  <DocSecurity>0</DocSecurity>
  <Lines>237</Lines>
  <Paragraphs>109</Paragraphs>
  <ScaleCrop>false</ScaleCrop>
  <Company>Author-it Software Corporation Ltd.</Company>
  <LinksUpToDate>false</LinksUpToDate>
  <CharactersWithSpaces>6776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UEEHA0010 Supervise repair and overhaul of explosion-protected equipment type Group III ('t')</dc:title>
  <dc:subject>Approved</dc:subject>
  <dc:creator>Australian Industry Standards</dc:creator>
  <cp:keywords>Release: 1</cp:keywords>
  <dc:description>Review Date: 12 April 2008</dc:description>
  <cp:lastModifiedBy>HSD_TPCMSd.prod</cp:lastModifiedBy>
  <cp:revision>3</cp:revision>
  <dcterms:created xsi:type="dcterms:W3CDTF">2022-07-19T04:29:00Z</dcterms:created>
  <dcterms:modified xsi:type="dcterms:W3CDTF">2022-07-19T04:29:00Z</dcterms:modified>
</cp:coreProperties>
</file>