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588" w:rsidP="000F3588">
      <w:pPr>
        <w:pStyle w:val="Title"/>
      </w:pPr>
      <w:r>
        <w:fldChar w:fldCharType="begin"/>
      </w:r>
      <w:r>
        <w:instrText xml:space="preserve"> TITLE   \* MERGEFORMAT </w:instrText>
      </w:r>
      <w:r>
        <w:fldChar w:fldCharType="separate"/>
      </w:r>
      <w:r>
        <w:t>Assessment Requirements for UEEHA0008 Design gas detection systems</w:t>
      </w:r>
      <w:r>
        <w:fldChar w:fldCharType="end"/>
      </w:r>
    </w:p>
    <w:p w:rsidR="000F3588" w:rsidP="000F3588">
      <w:pPr>
        <w:pStyle w:val="Version"/>
        <w:sectPr w:rsidSect="007A1A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A93" w:rsidP="007A1A93">
      <w:pPr>
        <w:pStyle w:val="SuperHeading"/>
      </w:pPr>
      <w:r w:rsidRPr="007A1A93">
        <w:t>Assessment Requirements for UEEHA0008 Design gas detection systems</w:t>
      </w:r>
    </w:p>
    <w:p w:rsidR="00000000" w:rsidRPr="007A1A93" w:rsidP="007A1A93">
      <w:pPr>
        <w:pStyle w:val="Heading1"/>
      </w:pPr>
      <w:bookmarkStart w:id="1" w:name="O_1103522"/>
      <w:bookmarkEnd w:id="1"/>
      <w:r w:rsidRPr="007A1A93">
        <w:t>Modification History</w:t>
      </w:r>
    </w:p>
    <w:tbl>
      <w:tblPr>
        <w:tblW w:w="9497" w:type="dxa"/>
        <w:tblLayout w:type="fixed"/>
        <w:tblCellMar>
          <w:left w:w="62" w:type="dxa"/>
          <w:right w:w="62" w:type="dxa"/>
        </w:tblCellMar>
        <w:tblLook w:val="0000"/>
      </w:tblPr>
      <w:tblGrid>
        <w:gridCol w:w="9497"/>
      </w:tblGrid>
      <w:tr w:rsidTr="007A1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A93" w:rsidP="007A1A93">
            <w:pPr>
              <w:pStyle w:val="BodyText"/>
            </w:pPr>
            <w:r w:rsidRPr="007A1A93">
              <w:t>Release 1. This is the first release of this unit of competency in the UEE Electrotechnology Training Package.</w:t>
            </w:r>
          </w:p>
        </w:tc>
      </w:tr>
    </w:tbl>
    <w:p w:rsidR="00000000" w:rsidRPr="007A1A93" w:rsidP="007A1A93">
      <w:pPr>
        <w:pStyle w:val="NoPaddingFontSize1"/>
      </w:pPr>
    </w:p>
    <w:p w:rsidR="00000000" w:rsidRPr="007A1A93" w:rsidP="007A1A93">
      <w:pPr>
        <w:pStyle w:val="AllowPageBreak"/>
      </w:pPr>
    </w:p>
    <w:p w:rsidR="00000000" w:rsidRPr="007A1A93" w:rsidP="007A1A93">
      <w:pPr>
        <w:pStyle w:val="Heading1"/>
      </w:pPr>
      <w:bookmarkStart w:id="2" w:name="O_1103523"/>
      <w:bookmarkEnd w:id="2"/>
      <w:r w:rsidRPr="007A1A93">
        <w:t>Performance Evidence</w:t>
      </w:r>
    </w:p>
    <w:tbl>
      <w:tblPr>
        <w:tblW w:w="9497" w:type="dxa"/>
        <w:tblLayout w:type="fixed"/>
        <w:tblCellMar>
          <w:left w:w="62" w:type="dxa"/>
          <w:right w:w="62" w:type="dxa"/>
        </w:tblCellMar>
        <w:tblLook w:val="0000"/>
      </w:tblPr>
      <w:tblGrid>
        <w:gridCol w:w="9497"/>
      </w:tblGrid>
      <w:tr w:rsidTr="007A1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A93">
            <w:pPr>
              <w:pStyle w:val="BodyText"/>
              <w:rPr>
                <w:lang w:val="en-NZ"/>
              </w:rPr>
            </w:pPr>
            <w:r w:rsidRPr="007A1A93">
              <w:t>Evidence required to demonstrate competence in this unit must be relevant to and satisfy all of the requirements of the elements and performance criteria on at least two separate occasions and include:</w:t>
            </w:r>
          </w:p>
        </w:tc>
      </w:tr>
      <w:tr w:rsidTr="007A1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A93" w:rsidP="007A1A93">
            <w:pPr>
              <w:pStyle w:val="ListBullet"/>
            </w:pPr>
            <w:r w:rsidRPr="007A1A93">
              <w:t xml:space="preserve">accessing and interpreting gas </w:t>
            </w:r>
            <w:r w:rsidRPr="007A1A93">
              <w:t>detection hazardous area workplace needs and parameters</w:t>
            </w:r>
          </w:p>
          <w:p w:rsidR="00000000" w:rsidRPr="007A1A93" w:rsidP="007A1A93">
            <w:pPr>
              <w:pStyle w:val="ListBullet"/>
            </w:pPr>
            <w:r w:rsidRPr="007A1A93">
              <w:t>applying relevant contingency management skills</w:t>
            </w:r>
          </w:p>
          <w:p w:rsidR="00000000" w:rsidRPr="007A1A93" w:rsidP="007A1A93">
            <w:pPr>
              <w:pStyle w:val="ListBullet"/>
            </w:pPr>
            <w:r w:rsidRPr="007A1A93">
              <w:t>applying relevant work health and safety (WHS)/occupational health and safety (OHS) requirements, including:</w:t>
            </w:r>
          </w:p>
          <w:p w:rsidR="00000000" w:rsidRPr="007A1A93" w:rsidP="007A1A93">
            <w:pPr>
              <w:pStyle w:val="ListBullet2"/>
            </w:pPr>
            <w:r w:rsidRPr="007A1A93">
              <w:t>risk control measures</w:t>
            </w:r>
          </w:p>
          <w:p w:rsidR="00000000" w:rsidRPr="007A1A93" w:rsidP="007A1A93">
            <w:pPr>
              <w:pStyle w:val="ListBullet2"/>
            </w:pPr>
            <w:r w:rsidRPr="007A1A93">
              <w:t>workplace procedures and practices</w:t>
            </w:r>
          </w:p>
          <w:p w:rsidR="00000000" w:rsidRPr="007A1A93" w:rsidP="007A1A93">
            <w:pPr>
              <w:pStyle w:val="ListBullet"/>
            </w:pPr>
            <w:r w:rsidRPr="007A1A93">
              <w:t>applying sustainable energy principles and practices</w:t>
            </w:r>
          </w:p>
          <w:p w:rsidR="00000000" w:rsidRPr="007A1A93" w:rsidP="007A1A93">
            <w:pPr>
              <w:pStyle w:val="ListBullet"/>
            </w:pPr>
            <w:r w:rsidRPr="007A1A93">
              <w:t>designing gas detection systems within a hazardous area</w:t>
            </w:r>
          </w:p>
          <w:p w:rsidR="00000000" w:rsidRPr="007A1A93" w:rsidP="007A1A93">
            <w:pPr>
              <w:pStyle w:val="ListBullet"/>
            </w:pPr>
            <w:r w:rsidRPr="007A1A93">
              <w:t>documenting gas detection equipment system design</w:t>
            </w:r>
          </w:p>
          <w:p w:rsidR="00000000" w:rsidRPr="007A1A93" w:rsidP="007A1A93">
            <w:pPr>
              <w:pStyle w:val="ListBullet"/>
            </w:pPr>
            <w:r w:rsidRPr="007A1A93">
              <w:t>following, checking and documenting workplace procedures</w:t>
            </w:r>
          </w:p>
          <w:p w:rsidR="00000000" w:rsidRPr="007A1A93" w:rsidP="007A1A93">
            <w:pPr>
              <w:pStyle w:val="ListBullet"/>
            </w:pPr>
            <w:r w:rsidRPr="007A1A93">
              <w:t>prov</w:t>
            </w:r>
            <w:r w:rsidRPr="007A1A93">
              <w:t>iding gas detection equipment selection options based on parameters for gas detection and economic considerations.</w:t>
            </w:r>
          </w:p>
        </w:tc>
      </w:tr>
    </w:tbl>
    <w:p w:rsidR="00000000" w:rsidRPr="007A1A93" w:rsidP="007A1A93">
      <w:pPr>
        <w:pStyle w:val="NoPaddingFontSize1"/>
      </w:pPr>
    </w:p>
    <w:p w:rsidR="00000000" w:rsidRPr="007A1A93" w:rsidP="007A1A93">
      <w:pPr>
        <w:pStyle w:val="AllowPageBreak"/>
      </w:pPr>
    </w:p>
    <w:p w:rsidR="00000000" w:rsidRPr="007A1A93" w:rsidP="007A1A93">
      <w:pPr>
        <w:pStyle w:val="Heading1"/>
      </w:pPr>
      <w:bookmarkStart w:id="3" w:name="O_1103524"/>
      <w:bookmarkEnd w:id="3"/>
      <w:r w:rsidRPr="007A1A93">
        <w:t>Knowledge Evidence</w:t>
      </w:r>
    </w:p>
    <w:tbl>
      <w:tblPr>
        <w:tblW w:w="9497" w:type="dxa"/>
        <w:tblLayout w:type="fixed"/>
        <w:tblCellMar>
          <w:left w:w="62" w:type="dxa"/>
          <w:right w:w="62" w:type="dxa"/>
        </w:tblCellMar>
        <w:tblLook w:val="0000"/>
      </w:tblPr>
      <w:tblGrid>
        <w:gridCol w:w="9497"/>
      </w:tblGrid>
      <w:tr w:rsidTr="007A1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A93">
            <w:pPr>
              <w:pStyle w:val="BodyText"/>
              <w:rPr>
                <w:lang w:val="en-NZ"/>
              </w:rPr>
            </w:pPr>
            <w:r w:rsidRPr="007A1A93">
              <w:t xml:space="preserve">Evidence required to demonstrate competence in </w:t>
            </w:r>
            <w:r w:rsidRPr="007A1A93">
              <w:t>this unit must be relevant to and satisfy all of the requirements of the elements and performance criteria and include knowledge of:</w:t>
            </w:r>
          </w:p>
        </w:tc>
      </w:tr>
      <w:tr w:rsidTr="007A1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A93" w:rsidP="007A1A93">
            <w:pPr>
              <w:pStyle w:val="ListBullet"/>
            </w:pPr>
            <w:r w:rsidRPr="007A1A93">
              <w:t>maintenance procedures in hazardous areas that will ensure the integrity of the explosion-protection technique, including</w:t>
            </w:r>
            <w:r w:rsidRPr="007A1A93">
              <w:t>:</w:t>
            </w:r>
          </w:p>
          <w:p w:rsidR="00000000" w:rsidRPr="007A1A93" w:rsidP="007A1A93">
            <w:pPr>
              <w:pStyle w:val="ListBullet2"/>
            </w:pPr>
            <w:r w:rsidRPr="007A1A93">
              <w:t>the purpose of a maintenance schedule</w:t>
            </w:r>
          </w:p>
          <w:p w:rsidR="00000000" w:rsidRPr="007A1A93" w:rsidP="007A1A93">
            <w:pPr>
              <w:pStyle w:val="ListBullet2"/>
            </w:pPr>
            <w:r w:rsidRPr="007A1A93">
              <w:t>the purpose and extent of ‘close’, ‘sample’ and ‘periodic’ inspections</w:t>
            </w:r>
          </w:p>
          <w:p w:rsidR="00000000" w:rsidRPr="007A1A93" w:rsidP="007A1A93">
            <w:pPr>
              <w:pStyle w:val="ListBullet2"/>
            </w:pPr>
            <w:r w:rsidRPr="007A1A93">
              <w:t>the features of each explosion-protection techniques that should be included in a maintenance schedule</w:t>
            </w:r>
          </w:p>
          <w:p w:rsidR="00000000" w:rsidRPr="007A1A93" w:rsidP="007A1A93">
            <w:pPr>
              <w:pStyle w:val="ListBullet2"/>
            </w:pPr>
            <w:r w:rsidRPr="007A1A93">
              <w:t>the impact of environmental conditions on explosion-protected equipment, including corrosion and frequency of maintenance</w:t>
            </w:r>
          </w:p>
          <w:p w:rsidR="00000000" w:rsidRPr="007A1A93" w:rsidP="007A1A93">
            <w:pPr>
              <w:pStyle w:val="ListBullet2"/>
            </w:pPr>
            <w:r w:rsidRPr="007A1A93">
              <w:t>the documentation requirements for recording the maintenance process and results</w:t>
            </w:r>
          </w:p>
          <w:p w:rsidR="00000000" w:rsidRPr="007A1A93" w:rsidP="007A1A93">
            <w:pPr>
              <w:pStyle w:val="ListBullet2"/>
            </w:pPr>
            <w:r w:rsidRPr="007A1A93">
              <w:t xml:space="preserve">the use of standards in determining the requirements </w:t>
            </w:r>
            <w:r w:rsidRPr="007A1A93">
              <w:t>with which the design of explosion-protected apparatus shall comply</w:t>
            </w:r>
          </w:p>
          <w:p w:rsidR="00000000" w:rsidRPr="007A1A93" w:rsidP="007A1A93">
            <w:pPr>
              <w:pStyle w:val="ListBullet"/>
            </w:pPr>
            <w:r w:rsidRPr="007A1A93">
              <w:t>techniques for the installation and maintenance of fixed gas detection equipment, including:</w:t>
            </w:r>
          </w:p>
          <w:p w:rsidR="00000000" w:rsidRPr="007A1A93" w:rsidP="007A1A93">
            <w:pPr>
              <w:pStyle w:val="ListBullet2"/>
            </w:pPr>
            <w:r w:rsidRPr="007A1A93">
              <w:t>use of manufacturer instruction manuals; for example, operating instructions, adjustments pro</w:t>
            </w:r>
            <w:r w:rsidRPr="007A1A93">
              <w:t>cedures and operational limitations</w:t>
            </w:r>
          </w:p>
          <w:p w:rsidR="00000000" w:rsidRPr="007A1A93" w:rsidP="007A1A93">
            <w:pPr>
              <w:pStyle w:val="ListBullet2"/>
            </w:pPr>
            <w:r w:rsidRPr="007A1A93">
              <w:t>installation and maintenance of standards and/or codes of practice for gas detection equipment</w:t>
            </w:r>
          </w:p>
          <w:p w:rsidR="00000000" w:rsidRPr="007A1A93" w:rsidP="007A1A93">
            <w:pPr>
              <w:pStyle w:val="ListBullet"/>
            </w:pPr>
            <w:r w:rsidRPr="007A1A93">
              <w:t>location of fixed sample points or sensors, including:</w:t>
            </w:r>
          </w:p>
          <w:p w:rsidR="00000000" w:rsidRPr="007A1A93" w:rsidP="007A1A93">
            <w:pPr>
              <w:pStyle w:val="ListBullet2"/>
            </w:pPr>
            <w:r w:rsidRPr="007A1A93">
              <w:t>optimal sensing</w:t>
            </w:r>
          </w:p>
          <w:p w:rsidR="00000000" w:rsidRPr="007A1A93" w:rsidP="007A1A93">
            <w:pPr>
              <w:pStyle w:val="ListBullet2"/>
            </w:pPr>
            <w:r w:rsidRPr="007A1A93">
              <w:t>maintainability and ease of calibration</w:t>
            </w:r>
          </w:p>
          <w:p w:rsidR="00000000" w:rsidRPr="007A1A93" w:rsidP="007A1A93">
            <w:pPr>
              <w:pStyle w:val="ListBullet2"/>
            </w:pPr>
            <w:r w:rsidRPr="007A1A93">
              <w:t>protection a</w:t>
            </w:r>
            <w:r w:rsidRPr="007A1A93">
              <w:t>gainst environmental and mechanical damage</w:t>
            </w:r>
          </w:p>
          <w:p w:rsidR="00000000" w:rsidRPr="007A1A93" w:rsidP="007A1A93">
            <w:pPr>
              <w:pStyle w:val="ListBullet"/>
            </w:pPr>
            <w:r w:rsidRPr="007A1A93">
              <w:t>gas and vapour releases, including:</w:t>
            </w:r>
          </w:p>
          <w:p w:rsidR="00000000" w:rsidRPr="007A1A93" w:rsidP="007A1A93">
            <w:pPr>
              <w:pStyle w:val="ListBullet2"/>
            </w:pPr>
            <w:r w:rsidRPr="007A1A93">
              <w:t>the nature of a site</w:t>
            </w:r>
          </w:p>
          <w:p w:rsidR="00000000" w:rsidRPr="007A1A93" w:rsidP="007A1A93">
            <w:pPr>
              <w:pStyle w:val="ListBullet2"/>
            </w:pPr>
            <w:r w:rsidRPr="007A1A93">
              <w:t>natural and mechanical ventilation</w:t>
            </w:r>
          </w:p>
          <w:p w:rsidR="00000000" w:rsidRPr="007A1A93" w:rsidP="007A1A93">
            <w:pPr>
              <w:pStyle w:val="ListBullet"/>
            </w:pPr>
            <w:r w:rsidRPr="007A1A93">
              <w:t>common problems with fixed gas detectors</w:t>
            </w:r>
          </w:p>
          <w:p w:rsidR="00000000" w:rsidRPr="007A1A93" w:rsidP="007A1A93">
            <w:pPr>
              <w:pStyle w:val="ListBullet"/>
            </w:pPr>
            <w:r w:rsidRPr="007A1A93">
              <w:t>calibration and response checking</w:t>
            </w:r>
          </w:p>
          <w:p w:rsidR="00000000" w:rsidRPr="007A1A93" w:rsidP="007A1A93">
            <w:pPr>
              <w:pStyle w:val="ListBullet"/>
            </w:pPr>
            <w:r w:rsidRPr="007A1A93">
              <w:t>factors to consider in the evaluation and selection of portable and fixed gas detection equipment, including:</w:t>
            </w:r>
          </w:p>
          <w:p w:rsidR="00000000" w:rsidRPr="007A1A93" w:rsidP="007A1A93">
            <w:pPr>
              <w:pStyle w:val="ListBullet2"/>
            </w:pPr>
            <w:r w:rsidRPr="007A1A93">
              <w:t>requirements for gas detection for a given situation, including:</w:t>
            </w:r>
          </w:p>
          <w:p w:rsidR="00000000" w:rsidRPr="007A1A93" w:rsidP="007A1A93">
            <w:pPr>
              <w:pStyle w:val="ListBullet3"/>
            </w:pPr>
            <w:r w:rsidRPr="007A1A93">
              <w:t>sources for obtaining data on physical chemistry of the gas to be detected</w:t>
            </w:r>
          </w:p>
          <w:p w:rsidR="00000000" w:rsidRPr="007A1A93" w:rsidP="007A1A93">
            <w:pPr>
              <w:pStyle w:val="ListBullet3"/>
            </w:pPr>
            <w:r w:rsidRPr="007A1A93">
              <w:t>sour</w:t>
            </w:r>
            <w:r w:rsidRPr="007A1A93">
              <w:t>ces for obtaining data on the conditions under which the gas may be present</w:t>
            </w:r>
          </w:p>
          <w:p w:rsidR="00000000" w:rsidRPr="007A1A93" w:rsidP="007A1A93">
            <w:pPr>
              <w:pStyle w:val="ListBullet3"/>
            </w:pPr>
            <w:r w:rsidRPr="007A1A93">
              <w:t>processes of assessing the specifications of gas detection equipment against established requirements</w:t>
            </w:r>
          </w:p>
          <w:p w:rsidR="00000000" w:rsidRPr="007A1A93" w:rsidP="007A1A93">
            <w:pPr>
              <w:pStyle w:val="ListBullet"/>
            </w:pPr>
            <w:r w:rsidRPr="007A1A93">
              <w:t>detecting gases and vapours, including:</w:t>
            </w:r>
          </w:p>
          <w:p w:rsidR="00000000" w:rsidRPr="007A1A93" w:rsidP="007A1A93">
            <w:pPr>
              <w:pStyle w:val="ListBullet2"/>
            </w:pPr>
            <w:r w:rsidRPr="007A1A93">
              <w:t>apparatus capability and users’</w:t>
            </w:r>
            <w:r w:rsidRPr="007A1A93">
              <w:t xml:space="preserve"> knowledge</w:t>
            </w:r>
          </w:p>
          <w:p w:rsidR="00000000" w:rsidRPr="007A1A93" w:rsidP="007A1A93">
            <w:pPr>
              <w:pStyle w:val="ListBullet2"/>
            </w:pPr>
            <w:r w:rsidRPr="007A1A93">
              <w:t>propagation of gases - release of gas and vapours, ventilation, density, and temperature and location</w:t>
            </w:r>
          </w:p>
          <w:p w:rsidR="00000000" w:rsidRPr="007A1A93" w:rsidP="007A1A93">
            <w:pPr>
              <w:pStyle w:val="ListBullet2"/>
            </w:pPr>
            <w:r w:rsidRPr="007A1A93">
              <w:t>gases to be detected and not to be detected</w:t>
            </w:r>
          </w:p>
          <w:p w:rsidR="00000000" w:rsidRPr="007A1A93" w:rsidP="007A1A93">
            <w:pPr>
              <w:pStyle w:val="ListBullet2"/>
            </w:pPr>
            <w:r w:rsidRPr="007A1A93">
              <w:t>intended application</w:t>
            </w:r>
          </w:p>
          <w:p w:rsidR="00000000" w:rsidRPr="007A1A93" w:rsidP="007A1A93">
            <w:pPr>
              <w:pStyle w:val="ListBullet2"/>
            </w:pPr>
            <w:r w:rsidRPr="007A1A93">
              <w:t>environmental effects</w:t>
            </w:r>
          </w:p>
          <w:p w:rsidR="00000000" w:rsidRPr="007A1A93" w:rsidP="007A1A93">
            <w:pPr>
              <w:pStyle w:val="ListBullet2"/>
            </w:pPr>
            <w:r w:rsidRPr="007A1A93">
              <w:t>safety when monitoring for flammable gases where personnel could be present</w:t>
            </w:r>
          </w:p>
          <w:p w:rsidR="00000000" w:rsidRPr="007A1A93" w:rsidP="007A1A93">
            <w:pPr>
              <w:pStyle w:val="ListBullet2"/>
            </w:pPr>
            <w:r w:rsidRPr="007A1A93">
              <w:t>common properties of gases and vapours - density of gases, vapours and their mixtures; effect of temperature on density; lower explosive limit (LEL) and upper explosive limit (UEL)</w:t>
            </w:r>
            <w:r w:rsidRPr="007A1A93">
              <w:t xml:space="preserve"> of combustibles and toxicity</w:t>
            </w:r>
          </w:p>
          <w:p w:rsidR="00000000" w:rsidRPr="007A1A93" w:rsidP="007A1A93">
            <w:pPr>
              <w:pStyle w:val="ListBullet2"/>
            </w:pPr>
            <w:r w:rsidRPr="007A1A93">
              <w:t>the differences between detecting gases and vapours - added complication of evaporation, condensation and temperature effects of vapours and their effect on propagation, calibration and detection, including sampling</w:t>
            </w:r>
          </w:p>
          <w:p w:rsidR="00000000" w:rsidRPr="007A1A93" w:rsidP="007A1A93">
            <w:pPr>
              <w:pStyle w:val="ListBullet"/>
            </w:pPr>
            <w:r w:rsidRPr="007A1A93">
              <w:t>oxygen de</w:t>
            </w:r>
            <w:r w:rsidRPr="007A1A93">
              <w:t>ficiency and effects on safety, including:</w:t>
            </w:r>
          </w:p>
          <w:p w:rsidR="00000000" w:rsidRPr="007A1A93" w:rsidP="007A1A93">
            <w:pPr>
              <w:pStyle w:val="ListBullet2"/>
            </w:pPr>
            <w:r w:rsidRPr="007A1A93">
              <w:t>chemical reaction of oxygen with solid products</w:t>
            </w:r>
          </w:p>
          <w:p w:rsidR="00000000" w:rsidRPr="007A1A93" w:rsidP="007A1A93">
            <w:pPr>
              <w:pStyle w:val="ListBullet2"/>
            </w:pPr>
            <w:r w:rsidRPr="007A1A93">
              <w:t>chemical reaction of oxygen with gaseous products</w:t>
            </w:r>
          </w:p>
          <w:p w:rsidR="00000000" w:rsidRPr="007A1A93" w:rsidP="007A1A93">
            <w:pPr>
              <w:pStyle w:val="ListBullet2"/>
            </w:pPr>
            <w:r w:rsidRPr="007A1A93">
              <w:t>dilution of the air by displacement by some other gas or vapour</w:t>
            </w:r>
          </w:p>
          <w:p w:rsidR="00000000" w:rsidRPr="007A1A93" w:rsidP="007A1A93">
            <w:pPr>
              <w:pStyle w:val="ListBullet"/>
            </w:pPr>
            <w:r w:rsidRPr="007A1A93">
              <w:t>measuring principles of catalytic sensors, electr</w:t>
            </w:r>
            <w:r w:rsidRPr="007A1A93">
              <w:t>ochemical sensors, infrared sensors and semi-conductor sensors, including:</w:t>
            </w:r>
          </w:p>
          <w:p w:rsidR="00000000" w:rsidRPr="007A1A93" w:rsidP="007A1A93">
            <w:pPr>
              <w:pStyle w:val="ListBullet2"/>
            </w:pPr>
            <w:r w:rsidRPr="007A1A93">
              <w:t>common applications</w:t>
            </w:r>
          </w:p>
          <w:p w:rsidR="00000000" w:rsidRPr="007A1A93" w:rsidP="007A1A93">
            <w:pPr>
              <w:pStyle w:val="ListBullet2"/>
            </w:pPr>
            <w:r w:rsidRPr="007A1A93">
              <w:t>limitations and safety</w:t>
            </w:r>
          </w:p>
          <w:p w:rsidR="00000000" w:rsidRPr="007A1A93" w:rsidP="007A1A93">
            <w:pPr>
              <w:pStyle w:val="ListBullet2"/>
            </w:pPr>
            <w:r w:rsidRPr="007A1A93">
              <w:t>interferences of other gases with the measurement</w:t>
            </w:r>
          </w:p>
          <w:p w:rsidR="00000000" w:rsidRPr="007A1A93" w:rsidP="007A1A93">
            <w:pPr>
              <w:pStyle w:val="ListBullet2"/>
            </w:pPr>
            <w:r w:rsidRPr="007A1A93">
              <w:t>poisoning of the sensor</w:t>
            </w:r>
          </w:p>
          <w:p w:rsidR="00000000" w:rsidRPr="007A1A93" w:rsidP="007A1A93">
            <w:pPr>
              <w:pStyle w:val="ListBullet"/>
            </w:pPr>
            <w:r w:rsidRPr="007A1A93">
              <w:t>measuring principles of thermal conductivity sensors, flame ionisation, detectors (FID), flame temperature analysers (FTA), photo ionisation detectors (PID) and paramagnetic oxygen detectors</w:t>
            </w:r>
          </w:p>
          <w:p w:rsidR="00000000" w:rsidRPr="007A1A93" w:rsidP="007A1A93">
            <w:pPr>
              <w:pStyle w:val="ListBullet"/>
            </w:pPr>
            <w:r w:rsidRPr="007A1A93">
              <w:t>selection of apparatus, including:</w:t>
            </w:r>
          </w:p>
          <w:p w:rsidR="00000000" w:rsidRPr="007A1A93" w:rsidP="007A1A93">
            <w:pPr>
              <w:pStyle w:val="ListBullet2"/>
            </w:pPr>
            <w:r w:rsidRPr="007A1A93">
              <w:t>environment</w:t>
            </w:r>
          </w:p>
          <w:p w:rsidR="00000000" w:rsidRPr="007A1A93" w:rsidP="007A1A93">
            <w:pPr>
              <w:pStyle w:val="ListBullet2"/>
            </w:pPr>
            <w:r w:rsidRPr="007A1A93">
              <w:t>system response d</w:t>
            </w:r>
            <w:r w:rsidRPr="007A1A93">
              <w:t>elay</w:t>
            </w:r>
          </w:p>
          <w:p w:rsidR="00000000" w:rsidRPr="007A1A93" w:rsidP="007A1A93">
            <w:pPr>
              <w:pStyle w:val="ListBullet2"/>
            </w:pPr>
            <w:r w:rsidRPr="007A1A93">
              <w:t>gas to be detected with respect to measurement principles</w:t>
            </w:r>
          </w:p>
          <w:p w:rsidR="00000000" w:rsidRPr="007A1A93" w:rsidP="007A1A93">
            <w:pPr>
              <w:pStyle w:val="ListBullet"/>
            </w:pPr>
            <w:r w:rsidRPr="007A1A93">
              <w:t>behaviour of gas and vapour releases, including:</w:t>
            </w:r>
          </w:p>
          <w:p w:rsidR="00000000" w:rsidRPr="007A1A93" w:rsidP="007A1A93">
            <w:pPr>
              <w:pStyle w:val="ListBullet2"/>
            </w:pPr>
            <w:r w:rsidRPr="007A1A93">
              <w:t>rate of release</w:t>
            </w:r>
          </w:p>
          <w:p w:rsidR="00000000" w:rsidRPr="007A1A93" w:rsidP="007A1A93">
            <w:pPr>
              <w:pStyle w:val="ListBullet2"/>
            </w:pPr>
            <w:r w:rsidRPr="007A1A93">
              <w:t>density</w:t>
            </w:r>
          </w:p>
          <w:p w:rsidR="00000000" w:rsidRPr="007A1A93" w:rsidP="007A1A93">
            <w:pPr>
              <w:pStyle w:val="ListBullet2"/>
            </w:pPr>
            <w:r w:rsidRPr="007A1A93">
              <w:t>temperature/pressure</w:t>
            </w:r>
          </w:p>
          <w:p w:rsidR="00000000" w:rsidRPr="007A1A93" w:rsidP="007A1A93">
            <w:pPr>
              <w:pStyle w:val="ListBullet"/>
            </w:pPr>
            <w:r w:rsidRPr="007A1A93">
              <w:t>design and installation, including:</w:t>
            </w:r>
          </w:p>
          <w:p w:rsidR="00000000" w:rsidRPr="007A1A93" w:rsidP="007A1A93">
            <w:pPr>
              <w:pStyle w:val="ListBullet2"/>
            </w:pPr>
            <w:r w:rsidRPr="007A1A93">
              <w:t>sensor, sampling or open path</w:t>
            </w:r>
          </w:p>
          <w:p w:rsidR="00000000" w:rsidRPr="007A1A93" w:rsidP="007A1A93">
            <w:pPr>
              <w:pStyle w:val="ListBullet2"/>
            </w:pPr>
            <w:r w:rsidRPr="007A1A93">
              <w:t>location</w:t>
            </w:r>
          </w:p>
          <w:p w:rsidR="00000000" w:rsidRPr="007A1A93" w:rsidP="007A1A93">
            <w:pPr>
              <w:pStyle w:val="ListBullet2"/>
            </w:pPr>
            <w:r w:rsidRPr="007A1A93">
              <w:t>site</w:t>
            </w:r>
          </w:p>
          <w:p w:rsidR="00000000" w:rsidRPr="007A1A93" w:rsidP="007A1A93">
            <w:pPr>
              <w:pStyle w:val="ListBullet2"/>
            </w:pPr>
            <w:r w:rsidRPr="007A1A93">
              <w:t>environmental c</w:t>
            </w:r>
            <w:r w:rsidRPr="007A1A93">
              <w:t>onditions (adverse weather, excess temperature, vibration and other mechanical interference, hosing, airborne contaminants and corrosion)</w:t>
            </w:r>
          </w:p>
          <w:p w:rsidR="00000000" w:rsidRPr="007A1A93" w:rsidP="007A1A93">
            <w:pPr>
              <w:pStyle w:val="ListBullet"/>
            </w:pPr>
            <w:r w:rsidRPr="007A1A93">
              <w:t>integrity and safety, including:</w:t>
            </w:r>
          </w:p>
          <w:p w:rsidR="00000000" w:rsidRPr="007A1A93" w:rsidP="007A1A93">
            <w:pPr>
              <w:pStyle w:val="ListBullet2"/>
            </w:pPr>
            <w:r w:rsidRPr="007A1A93">
              <w:t>redundancy</w:t>
            </w:r>
          </w:p>
          <w:p w:rsidR="00000000" w:rsidRPr="007A1A93" w:rsidP="007A1A93">
            <w:pPr>
              <w:pStyle w:val="ListBullet2"/>
            </w:pPr>
            <w:r w:rsidRPr="007A1A93">
              <w:t>protection against loss of power supply</w:t>
            </w:r>
          </w:p>
          <w:p w:rsidR="00000000" w:rsidRPr="007A1A93" w:rsidP="007A1A93">
            <w:pPr>
              <w:pStyle w:val="ListBullet"/>
            </w:pPr>
            <w:r w:rsidRPr="007A1A93">
              <w:t>commissioning and scheduled maintenance, including:</w:t>
            </w:r>
          </w:p>
          <w:p w:rsidR="00000000" w:rsidRPr="007A1A93" w:rsidP="007A1A93">
            <w:pPr>
              <w:pStyle w:val="ListBullet2"/>
            </w:pPr>
            <w:r w:rsidRPr="007A1A93">
              <w:t>sample lines</w:t>
            </w:r>
          </w:p>
          <w:p w:rsidR="00000000" w:rsidRPr="007A1A93" w:rsidP="007A1A93">
            <w:pPr>
              <w:pStyle w:val="ListBullet2"/>
            </w:pPr>
            <w:r w:rsidRPr="007A1A93">
              <w:t>diffusion sensor screens</w:t>
            </w:r>
          </w:p>
          <w:p w:rsidR="00000000" w:rsidRPr="007A1A93" w:rsidP="007A1A93">
            <w:pPr>
              <w:pStyle w:val="ListBullet2"/>
            </w:pPr>
            <w:r w:rsidRPr="007A1A93">
              <w:t>initial gas calibration</w:t>
            </w:r>
          </w:p>
          <w:p w:rsidR="00000000" w:rsidRPr="007A1A93" w:rsidP="007A1A93">
            <w:pPr>
              <w:pStyle w:val="ListBullet2"/>
            </w:pPr>
            <w:r w:rsidRPr="007A1A93">
              <w:t>adjustment of alarm set points</w:t>
            </w:r>
          </w:p>
          <w:p w:rsidR="00000000" w:rsidRPr="007A1A93" w:rsidP="007A1A93">
            <w:pPr>
              <w:pStyle w:val="ListBullet2"/>
            </w:pPr>
            <w:r w:rsidRPr="007A1A93">
              <w:t>plans and records.</w:t>
            </w:r>
          </w:p>
        </w:tc>
      </w:tr>
    </w:tbl>
    <w:p w:rsidR="00000000" w:rsidRPr="007A1A93" w:rsidP="007A1A93">
      <w:pPr>
        <w:pStyle w:val="NoPaddingFontSize1"/>
      </w:pPr>
    </w:p>
    <w:p w:rsidR="00000000" w:rsidRPr="007A1A93" w:rsidP="007A1A93">
      <w:pPr>
        <w:pStyle w:val="AllowPageBreak"/>
      </w:pPr>
    </w:p>
    <w:p w:rsidR="00000000" w:rsidRPr="007A1A93" w:rsidP="007A1A93">
      <w:pPr>
        <w:pStyle w:val="Heading1"/>
      </w:pPr>
      <w:bookmarkStart w:id="4" w:name="O_1103525"/>
      <w:bookmarkEnd w:id="4"/>
      <w:r w:rsidRPr="007A1A93">
        <w:t>Assessment Conditions</w:t>
      </w:r>
    </w:p>
    <w:tbl>
      <w:tblPr>
        <w:tblW w:w="9497" w:type="dxa"/>
        <w:tblLayout w:type="fixed"/>
        <w:tblCellMar>
          <w:left w:w="62" w:type="dxa"/>
          <w:right w:w="62" w:type="dxa"/>
        </w:tblCellMar>
        <w:tblLook w:val="0000"/>
      </w:tblPr>
      <w:tblGrid>
        <w:gridCol w:w="9497"/>
      </w:tblGrid>
      <w:tr w:rsidTr="007A1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A93" w:rsidP="007A1A93">
            <w:pPr>
              <w:pStyle w:val="BodyText"/>
            </w:pPr>
            <w:r w:rsidRPr="007A1A93">
              <w:t xml:space="preserve">Assessors must hold credentials specified within the Standards for Registered Training Organisations current at the time of assessment. </w:t>
            </w:r>
          </w:p>
          <w:p w:rsidR="00000000" w:rsidRPr="007A1A93" w:rsidP="007A1A93">
            <w:pPr>
              <w:pStyle w:val="BodyText"/>
            </w:pPr>
            <w:r w:rsidRPr="007A1A93">
              <w:t>Assessment must satisfy the Principles of Assessment and Rules of Evidence and all regulatory requirements included wit</w:t>
            </w:r>
            <w:r w:rsidRPr="007A1A93">
              <w:t>hin the Standards for Registered Training Organisations current at the time of assessment.</w:t>
            </w:r>
          </w:p>
          <w:p w:rsidR="00000000" w:rsidRPr="007A1A93" w:rsidP="007A1A93">
            <w:pPr>
              <w:pStyle w:val="BodyText"/>
            </w:pPr>
            <w:r w:rsidRPr="007A1A93">
              <w:t>Assessment must occur in suitable workplace operational situations where it is appropriate to do so; where this is not appropriate, assessment must occur in suitable</w:t>
            </w:r>
            <w:r w:rsidRPr="007A1A93">
              <w:t xml:space="preserve"> simulated workplace operational situations that replicate workplace conditions.</w:t>
            </w:r>
          </w:p>
          <w:p w:rsidR="00000000" w:rsidRPr="007A1A93" w:rsidP="007A1A93">
            <w:pPr>
              <w:pStyle w:val="BodyText"/>
            </w:pPr>
            <w:r w:rsidRPr="007A1A93">
              <w:t>Assessment processes and techniques must be appropriate to the language, literacy and numeracy requirements of the work being performed and the needs of the candidate.</w:t>
            </w:r>
          </w:p>
          <w:p w:rsidR="00000000" w:rsidRPr="007A1A93" w:rsidP="007A1A93">
            <w:pPr>
              <w:pStyle w:val="BodyText"/>
            </w:pPr>
            <w:r w:rsidRPr="007A1A93">
              <w:t>Resourc</w:t>
            </w:r>
            <w:r w:rsidRPr="007A1A93">
              <w:t>es for assessment must include access to:</w:t>
            </w:r>
          </w:p>
          <w:p w:rsidR="00000000" w:rsidRPr="007A1A93" w:rsidP="007A1A93">
            <w:pPr>
              <w:pStyle w:val="ListBullet"/>
            </w:pPr>
            <w:r w:rsidRPr="007A1A93">
              <w:t>a range of relevant exercises, case studies and/or simulations</w:t>
            </w:r>
          </w:p>
          <w:p w:rsidR="00000000" w:rsidRPr="007A1A93" w:rsidP="007A1A93">
            <w:pPr>
              <w:pStyle w:val="ListBullet"/>
            </w:pPr>
            <w:r w:rsidRPr="007A1A93">
              <w:t xml:space="preserve">relevant and appropriate materials, tools, facilities, equipment and personal protective equipment (PPE) currently used in industry </w:t>
            </w:r>
          </w:p>
          <w:p w:rsidR="00000000" w:rsidRPr="007A1A93" w:rsidP="007A1A93">
            <w:pPr>
              <w:pStyle w:val="ListBullet"/>
            </w:pPr>
            <w:r w:rsidRPr="007A1A93">
              <w:t>resources that re</w:t>
            </w:r>
            <w:r w:rsidRPr="007A1A93">
              <w:t>flect current industry practices in relation to designing gas detection systems</w:t>
            </w:r>
          </w:p>
          <w:p w:rsidR="00000000" w:rsidRPr="007A1A93" w:rsidP="007A1A93">
            <w:pPr>
              <w:pStyle w:val="ListBullet"/>
            </w:pPr>
            <w:r w:rsidRPr="007A1A93">
              <w:t>applicable documentation, including workplace procedures, equipment specifications, regulations, codes of practice and operation manuals.</w:t>
            </w:r>
          </w:p>
        </w:tc>
      </w:tr>
    </w:tbl>
    <w:p w:rsidR="00000000" w:rsidRPr="007A1A93" w:rsidP="007A1A93">
      <w:pPr>
        <w:pStyle w:val="NoPaddingFontSize1"/>
      </w:pPr>
    </w:p>
    <w:p w:rsidR="00000000" w:rsidRPr="007A1A93" w:rsidP="007A1A93">
      <w:pPr>
        <w:pStyle w:val="AllowPageBreak"/>
      </w:pPr>
    </w:p>
    <w:p w:rsidR="00000000" w:rsidRPr="007A1A93" w:rsidP="007A1A93">
      <w:pPr>
        <w:pStyle w:val="Heading1"/>
      </w:pPr>
      <w:bookmarkStart w:id="5" w:name="O_1103528"/>
      <w:bookmarkEnd w:id="5"/>
      <w:r w:rsidRPr="007A1A93">
        <w:t>Links</w:t>
      </w:r>
    </w:p>
    <w:p w:rsidR="00000000" w:rsidRPr="007A1A93" w:rsidP="000F3588">
      <w:pPr>
        <w:pStyle w:val="BodyText"/>
      </w:pPr>
      <w:r w:rsidRPr="007A1A9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97F7F">
        <w:rPr>
          <w:rStyle w:val="Hyperlink"/>
        </w:rPr>
        <w:t>https://vetnet.gov.au/Pages/TrainingDocs.aspx?q=b8a8f136-5421-4ce1-92e0-2b50341431b6</w:t>
      </w:r>
      <w:r>
        <w:fldChar w:fldCharType="end"/>
      </w:r>
    </w:p>
    <w:p w:rsidR="00000000" w:rsidRPr="007A1A93" w:rsidP="007A1A93"/>
    <w:sectPr w:rsidSect="007A1A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A93" w:rsidRPr="000F3588" w:rsidP="000F3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88" w:rsidP="007A1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588" w:rsidP="007A1A9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F3588" w:rsidP="007A1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A93" w:rsidRPr="000F3588" w:rsidP="000F3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88" w:rsidRPr="002D2AF8" w:rsidP="007A1A93">
    <w:pPr>
      <w:pStyle w:val="Header"/>
      <w:framePr w:wrap="around"/>
    </w:pPr>
    <w:r>
      <w:fldChar w:fldCharType="begin"/>
    </w:r>
    <w:r>
      <w:instrText xml:space="preserve"> TITLE   \* MERGEFORMAT </w:instrText>
    </w:r>
    <w:r>
      <w:fldChar w:fldCharType="separate"/>
    </w:r>
    <w:r>
      <w:t>Assessment Requirements for UEEHA0008 Design gas detection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F3588" w:rsidP="007A1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FE7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A9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B69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A93"/>
    <w:pPr>
      <w:spacing w:before="360" w:after="60"/>
      <w:outlineLvl w:val="0"/>
    </w:pPr>
    <w:rPr>
      <w:sz w:val="32"/>
    </w:rPr>
  </w:style>
  <w:style w:type="paragraph" w:styleId="Heading2">
    <w:name w:val="heading 2"/>
    <w:basedOn w:val="HeadingBase"/>
    <w:next w:val="BodyText"/>
    <w:link w:val="Heading2Char"/>
    <w:qFormat/>
    <w:rsid w:val="007A1A93"/>
    <w:pPr>
      <w:keepLines/>
      <w:spacing w:before="240" w:after="120"/>
      <w:outlineLvl w:val="1"/>
    </w:pPr>
    <w:rPr>
      <w:sz w:val="28"/>
      <w:szCs w:val="40"/>
    </w:rPr>
  </w:style>
  <w:style w:type="paragraph" w:styleId="Heading3">
    <w:name w:val="heading 3"/>
    <w:basedOn w:val="HeadingBase"/>
    <w:next w:val="BodyText"/>
    <w:link w:val="Heading3Char"/>
    <w:qFormat/>
    <w:rsid w:val="007A1A93"/>
    <w:pPr>
      <w:spacing w:before="180" w:after="120"/>
      <w:outlineLvl w:val="2"/>
    </w:pPr>
    <w:rPr>
      <w:spacing w:val="-10"/>
      <w:kern w:val="32"/>
    </w:rPr>
  </w:style>
  <w:style w:type="paragraph" w:styleId="Heading4">
    <w:name w:val="heading 4"/>
    <w:basedOn w:val="HeadingBase"/>
    <w:next w:val="BodyText"/>
    <w:link w:val="Heading4Char"/>
    <w:qFormat/>
    <w:rsid w:val="007A1A93"/>
    <w:pPr>
      <w:spacing w:before="160" w:after="120"/>
      <w:outlineLvl w:val="3"/>
    </w:pPr>
    <w:rPr>
      <w:sz w:val="22"/>
    </w:rPr>
  </w:style>
  <w:style w:type="paragraph" w:styleId="Heading5">
    <w:name w:val="heading 5"/>
    <w:basedOn w:val="HeadingBase"/>
    <w:next w:val="Normal"/>
    <w:link w:val="Heading5Char"/>
    <w:qFormat/>
    <w:rsid w:val="007A1A93"/>
    <w:pPr>
      <w:spacing w:before="80"/>
      <w:outlineLvl w:val="4"/>
    </w:pPr>
    <w:rPr>
      <w:color w:val="918585"/>
      <w:sz w:val="20"/>
    </w:rPr>
  </w:style>
  <w:style w:type="paragraph" w:styleId="Heading6">
    <w:name w:val="heading 6"/>
    <w:basedOn w:val="HeadingBase"/>
    <w:next w:val="Normal"/>
    <w:link w:val="Heading6Char"/>
    <w:qFormat/>
    <w:rsid w:val="007A1A93"/>
    <w:pPr>
      <w:spacing w:before="60"/>
      <w:outlineLvl w:val="5"/>
    </w:pPr>
    <w:rPr>
      <w:color w:val="918585"/>
      <w:sz w:val="20"/>
    </w:rPr>
  </w:style>
  <w:style w:type="paragraph" w:styleId="Heading7">
    <w:name w:val="heading 7"/>
    <w:basedOn w:val="Normal"/>
    <w:next w:val="Normal"/>
    <w:link w:val="Heading7Char"/>
    <w:qFormat/>
    <w:rsid w:val="007A1A93"/>
    <w:pPr>
      <w:ind w:left="720"/>
      <w:outlineLvl w:val="6"/>
    </w:pPr>
    <w:rPr>
      <w:i/>
    </w:rPr>
  </w:style>
  <w:style w:type="paragraph" w:styleId="Heading8">
    <w:name w:val="heading 8"/>
    <w:basedOn w:val="Normal"/>
    <w:next w:val="Normal"/>
    <w:link w:val="Heading8Char"/>
    <w:qFormat/>
    <w:rsid w:val="007A1A93"/>
    <w:pPr>
      <w:ind w:left="720"/>
      <w:outlineLvl w:val="7"/>
    </w:pPr>
    <w:rPr>
      <w:i/>
    </w:rPr>
  </w:style>
  <w:style w:type="paragraph" w:styleId="Heading9">
    <w:name w:val="heading 9"/>
    <w:basedOn w:val="Normal"/>
    <w:next w:val="Normal"/>
    <w:link w:val="Heading9Char"/>
    <w:qFormat/>
    <w:rsid w:val="007A1A93"/>
    <w:pPr>
      <w:ind w:left="720"/>
      <w:outlineLvl w:val="8"/>
    </w:pPr>
    <w:rPr>
      <w:i/>
    </w:rPr>
  </w:style>
  <w:style w:type="character" w:default="1" w:styleId="DefaultParagraphFont">
    <w:name w:val="Default Paragraph Font"/>
    <w:uiPriority w:val="1"/>
    <w:unhideWhenUsed/>
    <w:rsid w:val="007A1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A93"/>
  </w:style>
  <w:style w:type="character" w:customStyle="1" w:styleId="Heading1Char">
    <w:name w:val="Heading 1 Char"/>
    <w:basedOn w:val="DefaultParagraphFont"/>
    <w:link w:val="Heading1"/>
    <w:rsid w:val="007A1A93"/>
    <w:rPr>
      <w:rFonts w:ascii="Times New Roman" w:eastAsia="Times New Roman" w:hAnsi="Times New Roman" w:cs="Times New Roman"/>
      <w:b/>
      <w:sz w:val="32"/>
      <w:szCs w:val="20"/>
      <w:lang w:eastAsia="en-US"/>
    </w:rPr>
  </w:style>
  <w:style w:type="paragraph" w:styleId="BodyText">
    <w:name w:val="Body Text"/>
    <w:basedOn w:val="Normal"/>
    <w:link w:val="BodyTextChar"/>
    <w:rsid w:val="007A1A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A93"/>
    <w:rPr>
      <w:rFonts w:ascii="Times New Roman" w:eastAsia="Times New Roman" w:hAnsi="Times New Roman" w:cs="Times New Roman"/>
      <w:sz w:val="24"/>
      <w:lang w:eastAsia="en-US"/>
    </w:rPr>
  </w:style>
  <w:style w:type="paragraph" w:styleId="ListBullet">
    <w:name w:val="List Bullet"/>
    <w:basedOn w:val="List"/>
    <w:rsid w:val="007A1A93"/>
    <w:pPr>
      <w:numPr>
        <w:numId w:val="13"/>
      </w:numPr>
      <w:tabs>
        <w:tab w:val="clear" w:pos="340"/>
      </w:tabs>
      <w:spacing w:before="40" w:after="40"/>
    </w:pPr>
  </w:style>
  <w:style w:type="paragraph" w:styleId="ListBullet2">
    <w:name w:val="List Bullet 2"/>
    <w:basedOn w:val="List2"/>
    <w:rsid w:val="007A1A93"/>
    <w:pPr>
      <w:numPr>
        <w:numId w:val="14"/>
      </w:numPr>
      <w:tabs>
        <w:tab w:val="clear" w:pos="680"/>
      </w:tabs>
    </w:pPr>
  </w:style>
  <w:style w:type="paragraph" w:customStyle="1" w:styleId="SuperHeading">
    <w:name w:val="SuperHeading"/>
    <w:basedOn w:val="Normal"/>
    <w:rsid w:val="007A1A93"/>
    <w:pPr>
      <w:spacing w:before="240" w:after="120"/>
      <w:outlineLvl w:val="0"/>
    </w:pPr>
    <w:rPr>
      <w:rFonts w:ascii="Times New Roman" w:hAnsi="Times New Roman"/>
      <w:b/>
      <w:sz w:val="32"/>
    </w:rPr>
  </w:style>
  <w:style w:type="paragraph" w:customStyle="1" w:styleId="AllowPageBreak">
    <w:name w:val="AllowPageBreak"/>
    <w:rsid w:val="007A1A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1A9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1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A93"/>
    <w:rPr>
      <w:rFonts w:ascii="Courier New" w:eastAsia="Times New Roman" w:hAnsi="Courier New" w:cs="Times New Roman"/>
      <w:i/>
      <w:szCs w:val="20"/>
      <w:lang w:eastAsia="en-US"/>
    </w:rPr>
  </w:style>
  <w:style w:type="paragraph" w:customStyle="1" w:styleId="HeadingBase">
    <w:name w:val="Heading Base"/>
    <w:rsid w:val="007A1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A93"/>
    <w:pPr>
      <w:tabs>
        <w:tab w:val="right" w:leader="dot" w:pos="9072"/>
      </w:tabs>
      <w:ind w:left="567"/>
    </w:pPr>
    <w:rPr>
      <w:szCs w:val="22"/>
    </w:rPr>
  </w:style>
  <w:style w:type="paragraph" w:customStyle="1" w:styleId="TOCBase">
    <w:name w:val="TOC Base"/>
    <w:rsid w:val="007A1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A93"/>
    <w:pPr>
      <w:tabs>
        <w:tab w:val="right" w:leader="dot" w:pos="9072"/>
      </w:tabs>
      <w:spacing w:before="40" w:after="40"/>
      <w:ind w:left="284"/>
    </w:pPr>
    <w:rPr>
      <w:rFonts w:ascii="Times New Roman" w:hAnsi="Times New Roman"/>
    </w:rPr>
  </w:style>
  <w:style w:type="paragraph" w:styleId="TOC1">
    <w:name w:val="toc 1"/>
    <w:basedOn w:val="TOCBase"/>
    <w:next w:val="Normal"/>
    <w:rsid w:val="007A1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A93"/>
    <w:rPr>
      <w:rFonts w:ascii="Times New Roman" w:eastAsia="Times New Roman" w:hAnsi="Times New Roman" w:cs="Times New Roman"/>
      <w:sz w:val="16"/>
      <w:lang w:eastAsia="en-US"/>
    </w:rPr>
  </w:style>
  <w:style w:type="paragraph" w:styleId="Title">
    <w:name w:val="Title"/>
    <w:basedOn w:val="HeadingBase"/>
    <w:link w:val="TitleChar"/>
    <w:qFormat/>
    <w:rsid w:val="007A1A93"/>
    <w:pPr>
      <w:spacing w:before="5040"/>
      <w:jc w:val="center"/>
    </w:pPr>
    <w:rPr>
      <w:sz w:val="48"/>
      <w:szCs w:val="72"/>
      <w:lang w:val="en-US"/>
    </w:rPr>
  </w:style>
  <w:style w:type="character" w:customStyle="1" w:styleId="TitleChar">
    <w:name w:val="Title Char"/>
    <w:basedOn w:val="DefaultParagraphFont"/>
    <w:link w:val="Title"/>
    <w:rsid w:val="007A1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A93"/>
    <w:pPr>
      <w:tabs>
        <w:tab w:val="left" w:pos="3600"/>
        <w:tab w:val="left" w:pos="3958"/>
      </w:tabs>
    </w:pPr>
  </w:style>
  <w:style w:type="paragraph" w:styleId="List">
    <w:name w:val="List"/>
    <w:basedOn w:val="BodyText"/>
    <w:next w:val="BodyText"/>
    <w:rsid w:val="007A1A93"/>
    <w:pPr>
      <w:tabs>
        <w:tab w:val="left" w:pos="340"/>
      </w:tabs>
      <w:spacing w:before="60" w:after="60"/>
      <w:ind w:left="340" w:hanging="340"/>
    </w:pPr>
  </w:style>
  <w:style w:type="paragraph" w:customStyle="1" w:styleId="Note">
    <w:name w:val="Note"/>
    <w:basedOn w:val="BodyText"/>
    <w:rsid w:val="007A1A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A93"/>
    <w:rPr>
      <w:b/>
      <w:spacing w:val="0"/>
    </w:rPr>
  </w:style>
  <w:style w:type="paragraph" w:customStyle="1" w:styleId="SuperTitle">
    <w:name w:val="SuperTitle"/>
    <w:basedOn w:val="Title"/>
    <w:rsid w:val="007A1A93"/>
    <w:pPr>
      <w:framePr w:wrap="auto" w:hAnchor="text" w:y="6049"/>
    </w:pPr>
    <w:rPr>
      <w:color w:val="000000"/>
      <w:sz w:val="40"/>
    </w:rPr>
  </w:style>
  <w:style w:type="paragraph" w:customStyle="1" w:styleId="TOCTitle">
    <w:name w:val="TOCTitle"/>
    <w:basedOn w:val="Heading1"/>
    <w:rsid w:val="007A1A93"/>
    <w:pPr>
      <w:spacing w:after="240"/>
      <w:jc w:val="center"/>
      <w:outlineLvl w:val="9"/>
    </w:pPr>
    <w:rPr>
      <w:caps/>
    </w:rPr>
  </w:style>
  <w:style w:type="paragraph" w:customStyle="1" w:styleId="Version">
    <w:name w:val="Version"/>
    <w:rsid w:val="007A1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A93"/>
    <w:pPr>
      <w:keepNext w:val="0"/>
      <w:tabs>
        <w:tab w:val="right" w:pos="4176"/>
      </w:tabs>
      <w:ind w:left="198" w:hanging="198"/>
    </w:pPr>
    <w:rPr>
      <w:rFonts w:ascii="Garamond" w:hAnsi="Garamond"/>
    </w:rPr>
  </w:style>
  <w:style w:type="paragraph" w:styleId="IndexHeading">
    <w:name w:val="index heading"/>
    <w:basedOn w:val="Normal"/>
    <w:next w:val="Index1"/>
    <w:semiHidden/>
    <w:rsid w:val="007A1A93"/>
    <w:pPr>
      <w:spacing w:before="120" w:after="120"/>
    </w:pPr>
    <w:rPr>
      <w:rFonts w:ascii="Arial" w:hAnsi="Arial"/>
      <w:b/>
      <w:color w:val="918585"/>
      <w:sz w:val="24"/>
    </w:rPr>
  </w:style>
  <w:style w:type="paragraph" w:styleId="Header">
    <w:name w:val="header"/>
    <w:basedOn w:val="Normal"/>
    <w:link w:val="HeaderChar"/>
    <w:rsid w:val="007A1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A93"/>
    <w:rPr>
      <w:rFonts w:ascii="Times New Roman" w:eastAsia="Times New Roman" w:hAnsi="Times New Roman" w:cs="Times New Roman"/>
      <w:sz w:val="16"/>
      <w:szCs w:val="20"/>
      <w:lang w:val="en-GB" w:eastAsia="en-US"/>
    </w:rPr>
  </w:style>
  <w:style w:type="paragraph" w:customStyle="1" w:styleId="Chapter">
    <w:name w:val="Chapter"/>
    <w:basedOn w:val="Normal"/>
    <w:rsid w:val="007A1A93"/>
    <w:pPr>
      <w:spacing w:before="240"/>
    </w:pPr>
    <w:rPr>
      <w:rFonts w:ascii="Times New Roman" w:hAnsi="Times New Roman"/>
      <w:smallCaps/>
      <w:spacing w:val="80"/>
      <w:sz w:val="28"/>
    </w:rPr>
  </w:style>
  <w:style w:type="paragraph" w:customStyle="1" w:styleId="InChapter">
    <w:name w:val="InChapter"/>
    <w:basedOn w:val="Heading3"/>
    <w:rsid w:val="007A1A93"/>
    <w:pPr>
      <w:spacing w:after="240"/>
      <w:outlineLvl w:val="9"/>
    </w:pPr>
    <w:rPr>
      <w:noProof/>
    </w:rPr>
  </w:style>
  <w:style w:type="paragraph" w:styleId="Index2">
    <w:name w:val="index 2"/>
    <w:basedOn w:val="Normal"/>
    <w:next w:val="Normal"/>
    <w:semiHidden/>
    <w:rsid w:val="007A1A93"/>
    <w:pPr>
      <w:tabs>
        <w:tab w:val="right" w:pos="4176"/>
      </w:tabs>
      <w:ind w:left="568" w:hanging="284"/>
    </w:pPr>
    <w:rPr>
      <w:rFonts w:ascii="Garamond" w:hAnsi="Garamond"/>
    </w:rPr>
  </w:style>
  <w:style w:type="paragraph" w:customStyle="1" w:styleId="Byline">
    <w:name w:val="Byline"/>
    <w:rsid w:val="007A1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A93"/>
    <w:pPr>
      <w:tabs>
        <w:tab w:val="clear" w:pos="3600"/>
        <w:tab w:val="clear" w:pos="3958"/>
      </w:tabs>
      <w:jc w:val="right"/>
    </w:pPr>
  </w:style>
  <w:style w:type="character" w:styleId="Emphasis">
    <w:name w:val="Emphasis"/>
    <w:basedOn w:val="DefaultParagraphFont"/>
    <w:qFormat/>
    <w:rsid w:val="007A1A93"/>
    <w:rPr>
      <w:i/>
    </w:rPr>
  </w:style>
  <w:style w:type="paragraph" w:styleId="Caption">
    <w:name w:val="caption"/>
    <w:basedOn w:val="BodyText"/>
    <w:next w:val="Normal"/>
    <w:qFormat/>
    <w:rsid w:val="007A1A93"/>
    <w:pPr>
      <w:framePr w:w="2268" w:hSpace="181" w:vSpace="181" w:wrap="around" w:vAnchor="text" w:hAnchor="page" w:x="1135" w:y="285" w:anchorLock="1"/>
    </w:pPr>
    <w:rPr>
      <w:i/>
    </w:rPr>
  </w:style>
  <w:style w:type="paragraph" w:customStyle="1" w:styleId="MiniTOCTitle">
    <w:name w:val="MiniTOCTitle"/>
    <w:basedOn w:val="Heading4"/>
    <w:rsid w:val="007A1A93"/>
    <w:pPr>
      <w:spacing w:before="240"/>
      <w:outlineLvl w:val="9"/>
    </w:pPr>
    <w:rPr>
      <w:noProof/>
      <w:sz w:val="24"/>
    </w:rPr>
  </w:style>
  <w:style w:type="paragraph" w:customStyle="1" w:styleId="MiniTOCItem">
    <w:name w:val="MiniTOCItem"/>
    <w:basedOn w:val="ListBullet"/>
    <w:rsid w:val="007A1A93"/>
    <w:pPr>
      <w:numPr>
        <w:numId w:val="0"/>
      </w:numPr>
      <w:tabs>
        <w:tab w:val="right" w:leader="dot" w:pos="6521"/>
      </w:tabs>
      <w:spacing w:before="0" w:after="0"/>
    </w:pPr>
  </w:style>
  <w:style w:type="paragraph" w:customStyle="1" w:styleId="TOFTitle">
    <w:name w:val="TOFTitle"/>
    <w:basedOn w:val="TOCTitle"/>
    <w:rsid w:val="007A1A93"/>
  </w:style>
  <w:style w:type="paragraph" w:styleId="TableofFigures">
    <w:name w:val="table of figures"/>
    <w:basedOn w:val="Normal"/>
    <w:next w:val="Normal"/>
    <w:semiHidden/>
    <w:rsid w:val="007A1A93"/>
    <w:pPr>
      <w:tabs>
        <w:tab w:val="right" w:leader="dot" w:pos="9072"/>
      </w:tabs>
      <w:ind w:left="970" w:hanging="403"/>
    </w:pPr>
    <w:rPr>
      <w:rFonts w:ascii="Times New Roman" w:hAnsi="Times New Roman"/>
      <w:b/>
    </w:rPr>
  </w:style>
  <w:style w:type="paragraph" w:styleId="ListNumber">
    <w:name w:val="List Number"/>
    <w:basedOn w:val="List"/>
    <w:rsid w:val="007A1A93"/>
    <w:pPr>
      <w:numPr>
        <w:numId w:val="16"/>
      </w:numPr>
      <w:tabs>
        <w:tab w:val="clear" w:pos="340"/>
      </w:tabs>
    </w:pPr>
  </w:style>
  <w:style w:type="character" w:customStyle="1" w:styleId="WingdingSymbols">
    <w:name w:val="Wingding Symbols"/>
    <w:rsid w:val="007A1A93"/>
    <w:rPr>
      <w:rFonts w:ascii="Wingdings" w:hAnsi="Wingdings"/>
    </w:rPr>
  </w:style>
  <w:style w:type="paragraph" w:customStyle="1" w:styleId="TableHeading">
    <w:name w:val="Table Heading"/>
    <w:basedOn w:val="HeadingBase"/>
    <w:rsid w:val="007A1A93"/>
    <w:pPr>
      <w:keepLines/>
      <w:pBdr>
        <w:bottom w:val="single" w:sz="6" w:space="1" w:color="918585"/>
      </w:pBdr>
      <w:spacing w:before="240"/>
    </w:pPr>
  </w:style>
  <w:style w:type="character" w:customStyle="1" w:styleId="HotSpot">
    <w:name w:val="HotSpot"/>
    <w:rsid w:val="007A1A93"/>
    <w:rPr>
      <w:color w:val="0033CC"/>
      <w:u w:val="none"/>
    </w:rPr>
  </w:style>
  <w:style w:type="paragraph" w:customStyle="1" w:styleId="BodyTextRight">
    <w:name w:val="Body Text Right"/>
    <w:basedOn w:val="BodyText"/>
    <w:rsid w:val="007A1A93"/>
    <w:pPr>
      <w:spacing w:before="0" w:after="0"/>
      <w:jc w:val="right"/>
    </w:pPr>
  </w:style>
  <w:style w:type="paragraph" w:styleId="Index3">
    <w:name w:val="index 3"/>
    <w:basedOn w:val="ListNumber2"/>
    <w:next w:val="Normal"/>
    <w:semiHidden/>
    <w:rsid w:val="007A1A93"/>
    <w:pPr>
      <w:numPr>
        <w:numId w:val="0"/>
      </w:numPr>
      <w:tabs>
        <w:tab w:val="right" w:leader="dot" w:pos="4176"/>
      </w:tabs>
    </w:pPr>
  </w:style>
  <w:style w:type="paragraph" w:styleId="ListNumber2">
    <w:name w:val="List Number 2"/>
    <w:basedOn w:val="List2"/>
    <w:rsid w:val="007A1A93"/>
    <w:pPr>
      <w:numPr>
        <w:numId w:val="11"/>
      </w:numPr>
      <w:tabs>
        <w:tab w:val="clear" w:pos="1060"/>
      </w:tabs>
    </w:pPr>
  </w:style>
  <w:style w:type="paragraph" w:customStyle="1" w:styleId="MarginNote">
    <w:name w:val="Margin Note"/>
    <w:basedOn w:val="BodyText"/>
    <w:rsid w:val="007A1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A93"/>
    <w:rPr>
      <w:sz w:val="32"/>
    </w:rPr>
  </w:style>
  <w:style w:type="paragraph" w:customStyle="1" w:styleId="HeadingProcedure">
    <w:name w:val="Heading Procedure"/>
    <w:basedOn w:val="HeadingBase"/>
    <w:next w:val="Normal"/>
    <w:rsid w:val="007A1A93"/>
    <w:pPr>
      <w:tabs>
        <w:tab w:val="left" w:pos="0"/>
      </w:tabs>
      <w:spacing w:before="120" w:after="60"/>
    </w:pPr>
    <w:rPr>
      <w:i/>
      <w:color w:val="918585"/>
      <w:sz w:val="22"/>
    </w:rPr>
  </w:style>
  <w:style w:type="paragraph" w:customStyle="1" w:styleId="TableBodyText">
    <w:name w:val="Table Body Text"/>
    <w:basedOn w:val="BodyText"/>
    <w:rsid w:val="007A1A93"/>
    <w:pPr>
      <w:spacing w:before="60" w:after="60"/>
    </w:pPr>
  </w:style>
  <w:style w:type="paragraph" w:styleId="ListContinue">
    <w:name w:val="List Continue"/>
    <w:basedOn w:val="List"/>
    <w:rsid w:val="007A1A93"/>
    <w:pPr>
      <w:ind w:firstLine="0"/>
    </w:pPr>
  </w:style>
  <w:style w:type="paragraph" w:customStyle="1" w:styleId="ListNote">
    <w:name w:val="List Note"/>
    <w:basedOn w:val="List"/>
    <w:rsid w:val="007A1A93"/>
    <w:pPr>
      <w:pBdr>
        <w:top w:val="single" w:sz="6" w:space="2" w:color="918585"/>
        <w:bottom w:val="single" w:sz="6" w:space="2" w:color="918585"/>
      </w:pBdr>
      <w:tabs>
        <w:tab w:val="left" w:pos="1021"/>
      </w:tabs>
      <w:ind w:firstLine="0"/>
    </w:pPr>
  </w:style>
  <w:style w:type="paragraph" w:customStyle="1" w:styleId="Warning">
    <w:name w:val="Warning"/>
    <w:basedOn w:val="BodyText"/>
    <w:rsid w:val="007A1A93"/>
    <w:pPr>
      <w:shd w:val="clear" w:color="auto" w:fill="D9D9D9"/>
      <w:tabs>
        <w:tab w:val="left" w:pos="992"/>
      </w:tabs>
      <w:ind w:left="119" w:right="119"/>
    </w:pPr>
    <w:rPr>
      <w:sz w:val="20"/>
    </w:rPr>
  </w:style>
  <w:style w:type="paragraph" w:customStyle="1" w:styleId="MarginIcons">
    <w:name w:val="Margin Icons"/>
    <w:basedOn w:val="BodyText"/>
    <w:rsid w:val="007A1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A93"/>
    <w:rPr>
      <w:rFonts w:ascii="Courier New" w:hAnsi="Courier New"/>
    </w:rPr>
  </w:style>
  <w:style w:type="paragraph" w:customStyle="1" w:styleId="NoteBullet">
    <w:name w:val="Note Bullet"/>
    <w:basedOn w:val="Note"/>
    <w:rsid w:val="007A1A93"/>
    <w:pPr>
      <w:tabs>
        <w:tab w:val="clear" w:pos="680"/>
      </w:tabs>
      <w:spacing w:before="60" w:after="60"/>
    </w:pPr>
  </w:style>
  <w:style w:type="paragraph" w:customStyle="1" w:styleId="SubHeading2">
    <w:name w:val="SubHeading2"/>
    <w:basedOn w:val="HeadingBase"/>
    <w:rsid w:val="007A1A93"/>
    <w:pPr>
      <w:spacing w:before="240" w:after="60"/>
    </w:pPr>
    <w:rPr>
      <w:sz w:val="20"/>
    </w:rPr>
  </w:style>
  <w:style w:type="paragraph" w:customStyle="1" w:styleId="SubHeading1">
    <w:name w:val="SubHeading1"/>
    <w:basedOn w:val="HeadingBase"/>
    <w:rsid w:val="007A1A93"/>
    <w:pPr>
      <w:spacing w:before="240" w:after="60"/>
    </w:pPr>
    <w:rPr>
      <w:color w:val="918585"/>
      <w:sz w:val="22"/>
    </w:rPr>
  </w:style>
  <w:style w:type="paragraph" w:customStyle="1" w:styleId="SideHeading">
    <w:name w:val="Side Heading"/>
    <w:basedOn w:val="HeadingBase"/>
    <w:rsid w:val="007A1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A93"/>
    <w:pPr>
      <w:numPr>
        <w:numId w:val="12"/>
      </w:numPr>
    </w:pPr>
  </w:style>
  <w:style w:type="paragraph" w:styleId="PlainText">
    <w:name w:val="Plain Text"/>
    <w:basedOn w:val="Normal"/>
    <w:link w:val="PlainTextChar"/>
    <w:rsid w:val="007A1A93"/>
    <w:rPr>
      <w:sz w:val="20"/>
    </w:rPr>
  </w:style>
  <w:style w:type="character" w:customStyle="1" w:styleId="PlainTextChar">
    <w:name w:val="Plain Text Char"/>
    <w:basedOn w:val="DefaultParagraphFont"/>
    <w:link w:val="PlainText"/>
    <w:rsid w:val="007A1A93"/>
    <w:rPr>
      <w:rFonts w:ascii="Courier New" w:eastAsia="Times New Roman" w:hAnsi="Courier New" w:cs="Times New Roman"/>
      <w:sz w:val="20"/>
      <w:szCs w:val="20"/>
      <w:lang w:eastAsia="en-US"/>
    </w:rPr>
  </w:style>
  <w:style w:type="character" w:customStyle="1" w:styleId="MenuOption">
    <w:name w:val="Menu Option"/>
    <w:basedOn w:val="DefaultParagraphFont"/>
    <w:rsid w:val="007A1A93"/>
    <w:rPr>
      <w:b/>
      <w:smallCaps/>
    </w:rPr>
  </w:style>
  <w:style w:type="paragraph" w:customStyle="1" w:styleId="TableListNumber">
    <w:name w:val="Table List Number"/>
    <w:basedOn w:val="ListNumber"/>
    <w:rsid w:val="007A1A93"/>
    <w:pPr>
      <w:numPr>
        <w:numId w:val="0"/>
      </w:numPr>
    </w:pPr>
  </w:style>
  <w:style w:type="paragraph" w:styleId="TOC4">
    <w:name w:val="toc 4"/>
    <w:basedOn w:val="TOCBase"/>
    <w:next w:val="Normal"/>
    <w:semiHidden/>
    <w:rsid w:val="007A1A93"/>
    <w:pPr>
      <w:tabs>
        <w:tab w:val="right" w:leader="dot" w:pos="9071"/>
      </w:tabs>
      <w:ind w:left="1701"/>
    </w:pPr>
  </w:style>
  <w:style w:type="paragraph" w:customStyle="1" w:styleId="ListAlpha">
    <w:name w:val="List Alpha"/>
    <w:basedOn w:val="List"/>
    <w:rsid w:val="007A1A93"/>
    <w:pPr>
      <w:numPr>
        <w:numId w:val="10"/>
      </w:numPr>
    </w:pPr>
  </w:style>
  <w:style w:type="paragraph" w:customStyle="1" w:styleId="ListAlpha2">
    <w:name w:val="List Alpha 2"/>
    <w:basedOn w:val="List2"/>
    <w:rsid w:val="007A1A93"/>
    <w:pPr>
      <w:numPr>
        <w:numId w:val="9"/>
      </w:numPr>
    </w:pPr>
  </w:style>
  <w:style w:type="paragraph" w:styleId="List2">
    <w:name w:val="List 2"/>
    <w:basedOn w:val="BodyText"/>
    <w:rsid w:val="007A1A93"/>
    <w:pPr>
      <w:tabs>
        <w:tab w:val="left" w:pos="680"/>
      </w:tabs>
      <w:spacing w:before="60" w:after="60"/>
      <w:ind w:left="680" w:hanging="340"/>
    </w:pPr>
  </w:style>
  <w:style w:type="paragraph" w:styleId="List3">
    <w:name w:val="List 3"/>
    <w:basedOn w:val="BodyText"/>
    <w:rsid w:val="007A1A93"/>
    <w:pPr>
      <w:tabs>
        <w:tab w:val="left" w:pos="1021"/>
      </w:tabs>
      <w:spacing w:before="60" w:after="60"/>
      <w:ind w:left="1020" w:hanging="340"/>
    </w:pPr>
  </w:style>
  <w:style w:type="paragraph" w:styleId="List4">
    <w:name w:val="List 4"/>
    <w:basedOn w:val="BodyText"/>
    <w:rsid w:val="007A1A93"/>
    <w:pPr>
      <w:tabs>
        <w:tab w:val="left" w:pos="1361"/>
      </w:tabs>
      <w:spacing w:before="60" w:after="60"/>
      <w:ind w:left="1361" w:hanging="340"/>
    </w:pPr>
  </w:style>
  <w:style w:type="paragraph" w:styleId="List5">
    <w:name w:val="List 5"/>
    <w:basedOn w:val="BodyText"/>
    <w:rsid w:val="007A1A93"/>
    <w:pPr>
      <w:tabs>
        <w:tab w:val="left" w:pos="1701"/>
      </w:tabs>
      <w:spacing w:before="60" w:after="60"/>
      <w:ind w:left="1701" w:hanging="340"/>
    </w:pPr>
  </w:style>
  <w:style w:type="paragraph" w:styleId="ListBullet4">
    <w:name w:val="List Bullet 4"/>
    <w:basedOn w:val="List4"/>
    <w:rsid w:val="007A1A93"/>
    <w:pPr>
      <w:numPr>
        <w:numId w:val="4"/>
      </w:numPr>
      <w:tabs>
        <w:tab w:val="clear" w:pos="1361"/>
      </w:tabs>
    </w:pPr>
  </w:style>
  <w:style w:type="paragraph" w:styleId="ListBullet5">
    <w:name w:val="List Bullet 5"/>
    <w:basedOn w:val="List5"/>
    <w:rsid w:val="007A1A93"/>
    <w:pPr>
      <w:numPr>
        <w:numId w:val="5"/>
      </w:numPr>
    </w:pPr>
  </w:style>
  <w:style w:type="paragraph" w:styleId="ListContinue2">
    <w:name w:val="List Continue 2"/>
    <w:basedOn w:val="List2"/>
    <w:rsid w:val="007A1A93"/>
    <w:pPr>
      <w:ind w:firstLine="0"/>
    </w:pPr>
  </w:style>
  <w:style w:type="paragraph" w:styleId="ListContinue3">
    <w:name w:val="List Continue 3"/>
    <w:basedOn w:val="List3"/>
    <w:rsid w:val="007A1A93"/>
    <w:pPr>
      <w:ind w:left="1021" w:firstLine="0"/>
    </w:pPr>
  </w:style>
  <w:style w:type="paragraph" w:styleId="ListContinue4">
    <w:name w:val="List Continue 4"/>
    <w:basedOn w:val="List4"/>
    <w:rsid w:val="007A1A93"/>
    <w:pPr>
      <w:ind w:firstLine="0"/>
    </w:pPr>
  </w:style>
  <w:style w:type="paragraph" w:styleId="ListContinue5">
    <w:name w:val="List Continue 5"/>
    <w:basedOn w:val="List5"/>
    <w:rsid w:val="007A1A93"/>
    <w:pPr>
      <w:ind w:firstLine="0"/>
    </w:pPr>
  </w:style>
  <w:style w:type="paragraph" w:styleId="ListNumber3">
    <w:name w:val="List Number 3"/>
    <w:basedOn w:val="List3"/>
    <w:rsid w:val="007A1A93"/>
    <w:pPr>
      <w:numPr>
        <w:numId w:val="6"/>
      </w:numPr>
    </w:pPr>
  </w:style>
  <w:style w:type="paragraph" w:styleId="ListNumber4">
    <w:name w:val="List Number 4"/>
    <w:basedOn w:val="List4"/>
    <w:rsid w:val="007A1A93"/>
    <w:pPr>
      <w:numPr>
        <w:numId w:val="7"/>
      </w:numPr>
    </w:pPr>
  </w:style>
  <w:style w:type="paragraph" w:styleId="ListNumber5">
    <w:name w:val="List Number 5"/>
    <w:basedOn w:val="List5"/>
    <w:rsid w:val="007A1A93"/>
    <w:pPr>
      <w:numPr>
        <w:numId w:val="8"/>
      </w:numPr>
    </w:pPr>
  </w:style>
  <w:style w:type="paragraph" w:styleId="BlockText">
    <w:name w:val="Block Text"/>
    <w:basedOn w:val="Normal"/>
    <w:rsid w:val="007A1A93"/>
    <w:pPr>
      <w:spacing w:after="120"/>
      <w:ind w:left="1440" w:right="1440"/>
    </w:pPr>
  </w:style>
  <w:style w:type="character" w:customStyle="1" w:styleId="Subscript">
    <w:name w:val="Subscript"/>
    <w:basedOn w:val="DefaultParagraphFont"/>
    <w:rsid w:val="007A1A93"/>
    <w:rPr>
      <w:sz w:val="16"/>
      <w:vertAlign w:val="subscript"/>
    </w:rPr>
  </w:style>
  <w:style w:type="character" w:customStyle="1" w:styleId="Superscript">
    <w:name w:val="Superscript"/>
    <w:basedOn w:val="DefaultParagraphFont"/>
    <w:rsid w:val="007A1A93"/>
    <w:rPr>
      <w:sz w:val="16"/>
      <w:vertAlign w:val="superscript"/>
    </w:rPr>
  </w:style>
  <w:style w:type="character" w:customStyle="1" w:styleId="Symbols">
    <w:name w:val="Symbols"/>
    <w:basedOn w:val="DefaultParagraphFont"/>
    <w:rsid w:val="007A1A93"/>
    <w:rPr>
      <w:rFonts w:ascii="Symbol" w:hAnsi="Symbol"/>
    </w:rPr>
  </w:style>
  <w:style w:type="character" w:customStyle="1" w:styleId="MenuOptions">
    <w:name w:val="Menu Options"/>
    <w:basedOn w:val="DefaultParagraphFont"/>
    <w:rsid w:val="007A1A93"/>
    <w:rPr>
      <w:rFonts w:ascii="Arial Narrow" w:hAnsi="Arial Narrow"/>
      <w:smallCaps/>
    </w:rPr>
  </w:style>
  <w:style w:type="character" w:customStyle="1" w:styleId="Buttons">
    <w:name w:val="Buttons"/>
    <w:basedOn w:val="DefaultParagraphFont"/>
    <w:rsid w:val="007A1A93"/>
    <w:rPr>
      <w:b/>
    </w:rPr>
  </w:style>
  <w:style w:type="character" w:customStyle="1" w:styleId="Underlined">
    <w:name w:val="Underlined"/>
    <w:basedOn w:val="DefaultParagraphFont"/>
    <w:rsid w:val="007A1A93"/>
    <w:rPr>
      <w:u w:val="single"/>
    </w:rPr>
  </w:style>
  <w:style w:type="paragraph" w:customStyle="1" w:styleId="TableBodyTextRight">
    <w:name w:val="Table Body Text Right"/>
    <w:basedOn w:val="TableBodyText"/>
    <w:rsid w:val="007A1A93"/>
    <w:pPr>
      <w:widowControl w:val="0"/>
      <w:autoSpaceDE w:val="0"/>
      <w:autoSpaceDN w:val="0"/>
      <w:adjustRightInd w:val="0"/>
      <w:jc w:val="right"/>
    </w:pPr>
    <w:rPr>
      <w:rFonts w:cs="Arial"/>
      <w:szCs w:val="18"/>
    </w:rPr>
  </w:style>
  <w:style w:type="paragraph" w:customStyle="1" w:styleId="CopyrightText">
    <w:name w:val="Copyright Text"/>
    <w:basedOn w:val="BodyText"/>
    <w:rsid w:val="007A1A93"/>
    <w:rPr>
      <w:sz w:val="18"/>
    </w:rPr>
  </w:style>
  <w:style w:type="paragraph" w:customStyle="1" w:styleId="BodySmallRight">
    <w:name w:val="Body Small Right"/>
    <w:basedOn w:val="BodyTextRight"/>
    <w:rsid w:val="007A1A93"/>
    <w:rPr>
      <w:sz w:val="18"/>
      <w:szCs w:val="18"/>
    </w:rPr>
  </w:style>
  <w:style w:type="paragraph" w:customStyle="1" w:styleId="MarginEdition">
    <w:name w:val="Margin Edition"/>
    <w:basedOn w:val="MarginNote"/>
    <w:rsid w:val="007A1A93"/>
    <w:pPr>
      <w:spacing w:before="0" w:after="0"/>
    </w:pPr>
    <w:rPr>
      <w:rFonts w:ascii="Times New Roman" w:hAnsi="Times New Roman"/>
      <w:color w:val="999999"/>
    </w:rPr>
  </w:style>
  <w:style w:type="paragraph" w:customStyle="1" w:styleId="Spacer">
    <w:name w:val="Spacer"/>
    <w:basedOn w:val="Normal"/>
    <w:rsid w:val="007A1A93"/>
    <w:rPr>
      <w:sz w:val="2"/>
      <w:szCs w:val="2"/>
    </w:rPr>
  </w:style>
  <w:style w:type="character" w:customStyle="1" w:styleId="Small">
    <w:name w:val="Small"/>
    <w:basedOn w:val="DefaultParagraphFont"/>
    <w:rsid w:val="007A1A93"/>
    <w:rPr>
      <w:sz w:val="16"/>
    </w:rPr>
  </w:style>
  <w:style w:type="paragraph" w:customStyle="1" w:styleId="WideTable">
    <w:name w:val="Wide Table"/>
    <w:basedOn w:val="Normal"/>
    <w:rsid w:val="007A1A93"/>
    <w:pPr>
      <w:ind w:left="-1418"/>
    </w:pPr>
    <w:rPr>
      <w:sz w:val="2"/>
      <w:szCs w:val="2"/>
    </w:rPr>
  </w:style>
  <w:style w:type="character" w:styleId="PageNumber">
    <w:name w:val="page number"/>
    <w:basedOn w:val="DefaultParagraphFont"/>
    <w:rsid w:val="007A1A93"/>
  </w:style>
  <w:style w:type="paragraph" w:styleId="Quote">
    <w:name w:val="Quote"/>
    <w:basedOn w:val="Heading1"/>
    <w:link w:val="QuoteChar"/>
    <w:qFormat/>
    <w:rsid w:val="007A1A93"/>
    <w:rPr>
      <w:b w:val="0"/>
      <w:sz w:val="72"/>
      <w:szCs w:val="72"/>
      <w:lang w:val="en-NZ"/>
    </w:rPr>
  </w:style>
  <w:style w:type="character" w:customStyle="1" w:styleId="QuoteChar">
    <w:name w:val="Quote Char"/>
    <w:basedOn w:val="DefaultParagraphFont"/>
    <w:link w:val="Quote"/>
    <w:rsid w:val="007A1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A93"/>
    <w:pPr>
      <w:pageBreakBefore/>
    </w:pPr>
  </w:style>
  <w:style w:type="paragraph" w:customStyle="1" w:styleId="Border">
    <w:name w:val="Border"/>
    <w:basedOn w:val="Normal"/>
    <w:qFormat/>
    <w:rsid w:val="007A1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A93"/>
    <w:rPr>
      <w:b/>
      <w:bCs/>
      <w:i/>
      <w:iCs/>
      <w:color w:val="auto"/>
    </w:rPr>
  </w:style>
  <w:style w:type="paragraph" w:styleId="IntenseQuote">
    <w:name w:val="Intense Quote"/>
    <w:basedOn w:val="Normal"/>
    <w:next w:val="Normal"/>
    <w:link w:val="IntenseQuoteChar"/>
    <w:uiPriority w:val="30"/>
    <w:qFormat/>
    <w:rsid w:val="007A1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A93"/>
    <w:rPr>
      <w:smallCaps/>
      <w:color w:val="auto"/>
      <w:u w:val="single"/>
    </w:rPr>
  </w:style>
  <w:style w:type="character" w:styleId="IntenseReference">
    <w:name w:val="Intense Reference"/>
    <w:basedOn w:val="DefaultParagraphFont"/>
    <w:uiPriority w:val="32"/>
    <w:qFormat/>
    <w:rsid w:val="007A1A93"/>
    <w:rPr>
      <w:b/>
      <w:bCs/>
      <w:smallCaps/>
      <w:color w:val="auto"/>
      <w:spacing w:val="5"/>
      <w:u w:val="single"/>
    </w:rPr>
  </w:style>
  <w:style w:type="paragraph" w:customStyle="1" w:styleId="2ColumnHeading">
    <w:name w:val="2Column Heading"/>
    <w:basedOn w:val="BodyText"/>
    <w:qFormat/>
    <w:rsid w:val="007A1A93"/>
    <w:pPr>
      <w:spacing w:after="60"/>
      <w:ind w:left="-2268"/>
    </w:pPr>
    <w:rPr>
      <w:b/>
    </w:rPr>
  </w:style>
  <w:style w:type="paragraph" w:customStyle="1" w:styleId="Heading1TOC">
    <w:name w:val="Heading1 TOC"/>
    <w:basedOn w:val="Normal"/>
    <w:qFormat/>
    <w:rsid w:val="007A1A93"/>
    <w:pPr>
      <w:spacing w:before="240" w:after="120"/>
    </w:pPr>
    <w:rPr>
      <w:rFonts w:ascii="Times New Roman" w:hAnsi="Times New Roman"/>
      <w:b/>
      <w:sz w:val="32"/>
    </w:rPr>
  </w:style>
  <w:style w:type="paragraph" w:customStyle="1" w:styleId="Heading2TOC">
    <w:name w:val="Heading2 TOC"/>
    <w:basedOn w:val="Normal"/>
    <w:qFormat/>
    <w:rsid w:val="007A1A93"/>
    <w:pPr>
      <w:spacing w:before="240" w:after="60"/>
    </w:pPr>
    <w:rPr>
      <w:rFonts w:ascii="Times New Roman" w:hAnsi="Times New Roman"/>
      <w:b/>
      <w:sz w:val="28"/>
    </w:rPr>
  </w:style>
  <w:style w:type="character" w:customStyle="1" w:styleId="Underline">
    <w:name w:val="Underline"/>
    <w:basedOn w:val="DefaultParagraphFont"/>
    <w:qFormat/>
    <w:rsid w:val="007A1A93"/>
    <w:rPr>
      <w:u w:val="single"/>
    </w:rPr>
  </w:style>
  <w:style w:type="character" w:customStyle="1" w:styleId="BoldandItalics">
    <w:name w:val="Bold and Italics"/>
    <w:qFormat/>
    <w:rsid w:val="007A1A93"/>
    <w:rPr>
      <w:b/>
      <w:i/>
      <w:u w:val="none"/>
    </w:rPr>
  </w:style>
  <w:style w:type="paragraph" w:styleId="BalloonText">
    <w:name w:val="Balloon Text"/>
    <w:basedOn w:val="Normal"/>
    <w:link w:val="BalloonTextChar"/>
    <w:rsid w:val="007A1A93"/>
    <w:rPr>
      <w:rFonts w:ascii="Tahoma" w:hAnsi="Tahoma" w:cs="Tahoma"/>
      <w:sz w:val="16"/>
      <w:szCs w:val="16"/>
    </w:rPr>
  </w:style>
  <w:style w:type="character" w:customStyle="1" w:styleId="BalloonTextChar">
    <w:name w:val="Balloon Text Char"/>
    <w:basedOn w:val="DefaultParagraphFont"/>
    <w:link w:val="BalloonText"/>
    <w:rsid w:val="007A1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A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A93"/>
    <w:rPr>
      <w:b/>
      <w:color w:val="660033"/>
      <w:spacing w:val="0"/>
    </w:rPr>
  </w:style>
  <w:style w:type="paragraph" w:customStyle="1" w:styleId="Nameditemlist">
    <w:name w:val="Named item list"/>
    <w:basedOn w:val="BodyText"/>
    <w:qFormat/>
    <w:rsid w:val="007A1A93"/>
    <w:pPr>
      <w:tabs>
        <w:tab w:val="left" w:pos="2835"/>
      </w:tabs>
      <w:ind w:left="2835" w:hanging="2835"/>
    </w:pPr>
  </w:style>
  <w:style w:type="paragraph" w:customStyle="1" w:styleId="BodyTextnopadding">
    <w:name w:val="Body Text no padding"/>
    <w:basedOn w:val="BodyText"/>
    <w:qFormat/>
    <w:rsid w:val="007A1A93"/>
    <w:pPr>
      <w:spacing w:before="0" w:after="0"/>
    </w:pPr>
  </w:style>
  <w:style w:type="paragraph" w:customStyle="1" w:styleId="BodyTextBold">
    <w:name w:val="Body Text Bold"/>
    <w:basedOn w:val="BodyText"/>
    <w:qFormat/>
    <w:rsid w:val="007A1A93"/>
    <w:rPr>
      <w:b/>
    </w:rPr>
  </w:style>
  <w:style w:type="character" w:styleId="Hyperlink">
    <w:name w:val="Hyperlink"/>
    <w:basedOn w:val="DefaultParagraphFont"/>
    <w:uiPriority w:val="99"/>
    <w:unhideWhenUsed/>
    <w:rsid w:val="000F3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5913</Characters>
  <Application>Microsoft Office Word</Application>
  <DocSecurity>0</DocSecurity>
  <Lines>144</Lines>
  <Paragraphs>111</Paragraphs>
  <ScaleCrop>false</ScaleCrop>
  <Company>Author-it Software Corporation Ltd.</Company>
  <LinksUpToDate>false</LinksUpToDate>
  <CharactersWithSpaces>6688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UEEHA0008 Design gas detection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2024-11-29T00:42:00Z</dcterms:created>
  <dcterms:modified xsi:type="dcterms:W3CDTF">2024-11-29T00:42:00Z</dcterms:modified>
</cp:coreProperties>
</file>