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13A7" w:rsidP="007013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UEEHA0006 Maintain equipment associated with hazardous areas</w:t>
      </w:r>
      <w:r>
        <w:fldChar w:fldCharType="end"/>
      </w:r>
    </w:p>
    <w:p w:rsidR="007013A7" w:rsidP="007013A7">
      <w:pPr>
        <w:pStyle w:val="Version"/>
        <w:sectPr w:rsidSect="004954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54EF" w:rsidP="004954EF">
      <w:pPr>
        <w:pStyle w:val="SuperHeading"/>
      </w:pPr>
      <w:r w:rsidRPr="004954EF">
        <w:t>UEEHA0006 Maintain equipment associated with hazardous areas</w:t>
      </w:r>
    </w:p>
    <w:p w:rsidR="00000000" w:rsidRPr="004954EF" w:rsidP="004954EF">
      <w:pPr>
        <w:pStyle w:val="Heading1"/>
      </w:pPr>
      <w:bookmarkStart w:id="1" w:name="O_1081984"/>
      <w:bookmarkEnd w:id="1"/>
      <w:r w:rsidRPr="004954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 w:rsidP="004954EF">
            <w:pPr>
              <w:pStyle w:val="BodyText"/>
            </w:pPr>
            <w:r w:rsidRPr="004954EF">
              <w:t>Release 1. This is the first release of this unit of competency in the UEE Electrotechnology Training Package.</w:t>
            </w:r>
          </w:p>
        </w:tc>
      </w:tr>
    </w:tbl>
    <w:p w:rsidR="00000000" w:rsidRPr="004954EF" w:rsidP="004954EF">
      <w:pPr>
        <w:pStyle w:val="NoPaddingFontSize1"/>
      </w:pPr>
    </w:p>
    <w:p w:rsidR="00000000" w:rsidRPr="004954EF" w:rsidP="004954EF">
      <w:pPr>
        <w:pStyle w:val="AllowPageBreak"/>
      </w:pPr>
    </w:p>
    <w:p w:rsidR="00000000" w:rsidRPr="004954EF" w:rsidP="004954EF">
      <w:pPr>
        <w:pStyle w:val="Heading1"/>
      </w:pPr>
      <w:bookmarkStart w:id="2" w:name="O_1081985"/>
      <w:bookmarkEnd w:id="2"/>
      <w:r w:rsidRPr="004954E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 w:rsidP="004954EF">
            <w:pPr>
              <w:pStyle w:val="BodyText"/>
            </w:pPr>
            <w:r w:rsidRPr="004954EF">
              <w:t>This unit involves the skills and knowledge required to maintain equipmen</w:t>
            </w:r>
            <w:r w:rsidRPr="004954EF">
              <w:t>t associated with hazardous areas. It includes determining required remedial maintenance from inspection reports; carrying out remedial and breakdown maintenance in compliance with regulations and safe working methods, standards and manufacturer’s instruct</w:t>
            </w:r>
            <w:r w:rsidRPr="004954EF">
              <w:t>ions; and completing the necessary maintenance documentation. It is adopted from clause 2.6 of AS/NZS 4761.1:2018 Competencies for working with electrical equipment for hazardous areas (EEHA).</w:t>
            </w:r>
          </w:p>
          <w:p w:rsidR="00000000" w:rsidRPr="004954EF" w:rsidP="004954EF">
            <w:pPr>
              <w:pStyle w:val="BodyText"/>
            </w:pPr>
            <w:r w:rsidRPr="004954EF">
              <w:t xml:space="preserve">For the purpose of applying this unit, </w:t>
            </w:r>
            <w:r>
              <w:t>‘</w:t>
            </w:r>
            <w:r w:rsidRPr="004954EF">
              <w:t>hazardous areas</w:t>
            </w:r>
            <w:r>
              <w:t>’</w:t>
            </w:r>
            <w:r w:rsidRPr="004954EF">
              <w:t xml:space="preserve"> are de</w:t>
            </w:r>
            <w:r w:rsidRPr="004954EF">
              <w:t>fined as areas in which an explosive atmosphere may be present.</w:t>
            </w:r>
          </w:p>
          <w:p w:rsidR="00000000" w:rsidRPr="004954EF" w:rsidP="004954EF">
            <w:pPr>
              <w:pStyle w:val="BodyText"/>
            </w:pPr>
            <w:r w:rsidRPr="004954EF">
              <w:t>Site-specific work permits maybe required to work in the hazardous environment. In addition, other permits may be required, such as confined space and to operate specific pieces of equipment s</w:t>
            </w:r>
            <w:r w:rsidRPr="004954EF">
              <w:t>uch as elevated work platforms (EWPs) in various jurisdictions.</w:t>
            </w:r>
          </w:p>
          <w:p w:rsidR="00000000" w:rsidRPr="004954EF" w:rsidP="004954EF">
            <w:pPr>
              <w:pStyle w:val="BodyText"/>
            </w:pPr>
            <w:r w:rsidRPr="004954EF">
              <w:t>Additional and/or other conditions may apply in some jurisdictions subject to regulations related to electrical work. Practice in the workplace and during training is also subject to work heal</w:t>
            </w:r>
            <w:r w:rsidRPr="004954EF">
              <w:t>th and safety (WHS)/occupational health and safety (OHS) regulations.</w:t>
            </w:r>
          </w:p>
        </w:tc>
      </w:tr>
    </w:tbl>
    <w:p w:rsidR="00000000" w:rsidRPr="004954EF" w:rsidP="004954EF">
      <w:pPr>
        <w:pStyle w:val="NoPaddingFontSize1"/>
      </w:pPr>
    </w:p>
    <w:p w:rsidR="00000000" w:rsidRPr="004954EF" w:rsidP="004954EF">
      <w:pPr>
        <w:pStyle w:val="AllowPageBreak"/>
      </w:pPr>
    </w:p>
    <w:p w:rsidR="00000000" w:rsidRPr="004954EF" w:rsidP="004954EF">
      <w:pPr>
        <w:pStyle w:val="Heading1"/>
      </w:pPr>
      <w:bookmarkStart w:id="3" w:name="O_1081986"/>
      <w:bookmarkEnd w:id="3"/>
      <w:r w:rsidRPr="004954E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 w:rsidP="004954EF">
            <w:pPr>
              <w:pStyle w:val="BodyText"/>
            </w:pPr>
            <w:r w:rsidRPr="004954EF">
              <w:t>UEEHA0004 Enter a classified hazardous area to undertake work related to electrical equipment</w:t>
            </w:r>
          </w:p>
          <w:p w:rsidR="00000000" w:rsidRPr="004954EF" w:rsidP="004954EF">
            <w:pPr>
              <w:pStyle w:val="BodyText"/>
            </w:pPr>
            <w:r w:rsidRPr="004954EF">
              <w:t>UEEHA0003 Determine the explosion-protection require</w:t>
            </w:r>
            <w:r w:rsidRPr="004954EF">
              <w:t>ments to meet a specified classified hazardous area</w:t>
            </w:r>
          </w:p>
          <w:p w:rsidR="00000000" w:rsidRPr="004954EF" w:rsidP="004954EF">
            <w:pPr>
              <w:pStyle w:val="BodyText"/>
            </w:pPr>
            <w:r w:rsidRPr="004954EF">
              <w:t>and</w:t>
            </w:r>
          </w:p>
          <w:p w:rsidR="00000000" w:rsidRPr="004954EF" w:rsidP="004954EF">
            <w:pPr>
              <w:pStyle w:val="BodyText"/>
            </w:pPr>
            <w:r w:rsidRPr="004954EF">
              <w:t>UEEEL0039 Design, install and verify compliance and functionality of general electrical installations</w:t>
            </w:r>
          </w:p>
          <w:p w:rsidR="00000000" w:rsidRPr="004954EF" w:rsidP="004954EF">
            <w:pPr>
              <w:pStyle w:val="BodyText"/>
            </w:pPr>
            <w:r w:rsidRPr="004954EF">
              <w:t>or</w:t>
            </w:r>
          </w:p>
          <w:p w:rsidR="00000000" w:rsidRPr="004954EF" w:rsidP="004954EF">
            <w:pPr>
              <w:pStyle w:val="BodyText"/>
            </w:pPr>
            <w:r w:rsidRPr="004954EF">
              <w:t>UEEEL0028 Conduct compliance and functional verification of electrical apparatus and existing c</w:t>
            </w:r>
            <w:r w:rsidRPr="004954EF">
              <w:t>ircuits</w:t>
            </w:r>
          </w:p>
          <w:p w:rsidR="00000000" w:rsidRPr="004954EF" w:rsidP="004954EF">
            <w:pPr>
              <w:pStyle w:val="BodyText"/>
            </w:pPr>
            <w:r w:rsidRPr="004954EF">
              <w:t>or</w:t>
            </w:r>
          </w:p>
          <w:p w:rsidR="00000000" w:rsidRPr="004954EF" w:rsidP="004954EF">
            <w:pPr>
              <w:pStyle w:val="BodyText"/>
            </w:pPr>
            <w:r w:rsidRPr="004954EF">
              <w:t>UEEIC0048 Verify compliance and functionality of instrumentation and control installations</w:t>
            </w:r>
          </w:p>
        </w:tc>
      </w:tr>
    </w:tbl>
    <w:p w:rsidR="00000000" w:rsidRPr="004954EF" w:rsidP="004954EF">
      <w:pPr>
        <w:pStyle w:val="NoPaddingFontSize1"/>
      </w:pPr>
    </w:p>
    <w:p w:rsidR="00000000" w:rsidRPr="004954EF" w:rsidP="004954EF">
      <w:pPr>
        <w:pStyle w:val="AllowPageBreak"/>
      </w:pPr>
    </w:p>
    <w:p w:rsidR="00000000" w:rsidRPr="004954EF" w:rsidP="004954EF">
      <w:pPr>
        <w:pStyle w:val="Heading1"/>
      </w:pPr>
      <w:bookmarkStart w:id="4" w:name="O_1081987"/>
      <w:bookmarkEnd w:id="4"/>
      <w:r w:rsidRPr="004954E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 w:rsidP="004954EF">
            <w:pPr>
              <w:pStyle w:val="BodyText"/>
            </w:pPr>
            <w:r w:rsidRPr="004954EF">
              <w:t>Hazardous</w:t>
            </w:r>
          </w:p>
        </w:tc>
      </w:tr>
    </w:tbl>
    <w:p w:rsidR="00000000" w:rsidRPr="004954EF" w:rsidP="004954EF">
      <w:pPr>
        <w:pStyle w:val="NoPaddingFontSize1"/>
      </w:pPr>
    </w:p>
    <w:p w:rsidR="00000000" w:rsidRPr="004954EF" w:rsidP="004954EF">
      <w:pPr>
        <w:pStyle w:val="AllowPageBreak"/>
      </w:pPr>
    </w:p>
    <w:p w:rsidR="00000000" w:rsidRPr="004954EF" w:rsidP="004954EF">
      <w:pPr>
        <w:pStyle w:val="Heading1"/>
      </w:pPr>
      <w:bookmarkStart w:id="5" w:name="O_1081988"/>
      <w:bookmarkEnd w:id="5"/>
      <w:r w:rsidRPr="004954E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 w:rsidP="004954EF">
            <w:pPr>
              <w:pStyle w:val="BodyText"/>
            </w:pPr>
            <w:r w:rsidRPr="004954EF">
              <w:t>Electrotechnology</w:t>
            </w:r>
          </w:p>
        </w:tc>
      </w:tr>
    </w:tbl>
    <w:p w:rsidR="00000000" w:rsidRPr="004954EF" w:rsidP="004954EF">
      <w:pPr>
        <w:pStyle w:val="NoPaddingFontSize1"/>
      </w:pPr>
    </w:p>
    <w:p w:rsidR="00000000" w:rsidRPr="004954EF" w:rsidP="004954EF">
      <w:pPr>
        <w:pStyle w:val="AllowPageBreak"/>
      </w:pPr>
    </w:p>
    <w:p w:rsidR="00000000" w:rsidRPr="004954EF" w:rsidP="004954EF">
      <w:pPr>
        <w:pStyle w:val="Heading1"/>
      </w:pPr>
      <w:bookmarkStart w:id="6" w:name="O_1081989"/>
      <w:bookmarkEnd w:id="6"/>
      <w:r w:rsidRPr="004954E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95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 w:rsidP="004954EF">
            <w:pPr>
              <w:pStyle w:val="BodyText"/>
            </w:pPr>
            <w:r w:rsidRPr="004954EF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rPr>
                <w:rStyle w:val="SpecialBold"/>
              </w:rPr>
              <w:t>PERFORMANCE CRITERIA</w:t>
            </w:r>
          </w:p>
        </w:tc>
      </w:tr>
      <w:tr w:rsidTr="00495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Performance criteria describe the performance needed to demonstrate achievement of the element.</w:t>
            </w:r>
          </w:p>
        </w:tc>
      </w:tr>
      <w:tr w:rsidTr="00495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 w:rsidP="004954EF">
            <w:pPr>
              <w:pStyle w:val="BodyText"/>
            </w:pPr>
            <w:r w:rsidRPr="004954EF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 w:rsidP="004954EF">
            <w:pPr>
              <w:pStyle w:val="BodyText"/>
            </w:pPr>
            <w:r w:rsidRPr="004954EF">
              <w:rPr>
                <w:rStyle w:val="SpecialBold"/>
              </w:rPr>
              <w:t>Prepare to carry out maintenance of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WHS/OHS policies and procedures to work in hazardous areas are identified and applied</w:t>
            </w:r>
          </w:p>
        </w:tc>
      </w:tr>
      <w:tr w:rsidTr="00495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Area classification and details of explosion-protected equipment and wiring are ascertained from hazardous area zone drawings and equipment certification documents</w:t>
            </w:r>
            <w:r w:rsidRPr="004954EF">
              <w:t xml:space="preserve"> held in the verification dossier</w:t>
            </w:r>
          </w:p>
        </w:tc>
      </w:tr>
      <w:tr w:rsidTr="00495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Extent of remedial maintenance to be conducted is determined from regulatory requirements and/or inspection records held in the verification dossier</w:t>
            </w:r>
          </w:p>
        </w:tc>
      </w:tr>
      <w:tr w:rsidTr="00495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Extent of breakdown maintenance is evaluated and confirmed with person/s reporting the breakdown</w:t>
            </w:r>
          </w:p>
        </w:tc>
      </w:tr>
      <w:tr w:rsidTr="00495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Limits of breakdown maintenance that can be carried out in situ with regard to explosion risk is determined in consultation with technical management pe</w:t>
            </w:r>
            <w:r w:rsidRPr="004954EF">
              <w:t>rsonnel</w:t>
            </w:r>
          </w:p>
        </w:tc>
      </w:tr>
      <w:tr w:rsidTr="00495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Required tools, equipment and testing devices are obtained and checked for operational safety</w:t>
            </w:r>
          </w:p>
        </w:tc>
      </w:tr>
      <w:tr w:rsidTr="00495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 w:rsidP="004954EF">
            <w:pPr>
              <w:pStyle w:val="BodyText"/>
            </w:pPr>
            <w:r w:rsidRPr="004954EF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 w:rsidP="004954EF">
            <w:pPr>
              <w:pStyle w:val="BodyText"/>
            </w:pPr>
            <w:r w:rsidRPr="004954EF">
              <w:rPr>
                <w:rStyle w:val="SpecialBold"/>
              </w:rPr>
              <w:t xml:space="preserve">Carry out equipment maintenance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WHS/OHS policies and procedures for working in hazardous areas, including isolation of equipment, are followed</w:t>
            </w:r>
          </w:p>
        </w:tc>
      </w:tr>
      <w:tr w:rsidTr="00495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Work is carried out in accordance with inspection records</w:t>
            </w:r>
          </w:p>
        </w:tc>
      </w:tr>
      <w:tr w:rsidTr="00495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Requirements and limitations of scheduled and breakdown remedial maintena</w:t>
            </w:r>
            <w:r w:rsidRPr="004954EF">
              <w:t>nce requirements are applied</w:t>
            </w:r>
          </w:p>
        </w:tc>
      </w:tr>
      <w:tr w:rsidTr="00495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Equipment is adjusted and maintained within the limits permitted by the equipment certification and in accordance with the manufacturer’s instructions</w:t>
            </w:r>
          </w:p>
        </w:tc>
      </w:tr>
      <w:tr w:rsidTr="00495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Certification documentation for like-for-like replacement part</w:t>
            </w:r>
            <w:r w:rsidRPr="004954EF">
              <w:t>s is sighted to ensure compliance with the equipment certification and manufacturer’s instructions</w:t>
            </w:r>
          </w:p>
        </w:tc>
      </w:tr>
      <w:tr w:rsidTr="00495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Circuits of equipment being withdrawn from service are isolated and terminated safely and in accordance with maintenance standards</w:t>
            </w:r>
          </w:p>
        </w:tc>
      </w:tr>
      <w:tr w:rsidTr="00495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Flexible cables and cords are examined and removed from service if they are not in immediate use or are found to be defective or damaged</w:t>
            </w:r>
          </w:p>
        </w:tc>
      </w:tr>
      <w:tr w:rsidTr="00495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Spare equipment</w:t>
            </w:r>
            <w:r w:rsidRPr="004954EF">
              <w:rPr>
                <w:rStyle w:val="SpecialBold"/>
              </w:rPr>
              <w:t>,</w:t>
            </w:r>
            <w:r w:rsidRPr="004954EF">
              <w:t xml:space="preserve"> flexible cables and cords are maintained and stored where they are not likely to suffer deterio</w:t>
            </w:r>
            <w:r w:rsidRPr="004954EF">
              <w:t>ration or damage</w:t>
            </w:r>
          </w:p>
        </w:tc>
      </w:tr>
      <w:tr w:rsidTr="00495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 w:rsidP="004954EF">
            <w:pPr>
              <w:pStyle w:val="BodyText"/>
            </w:pPr>
            <w:r w:rsidRPr="004954EF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 w:rsidP="004954EF">
            <w:pPr>
              <w:pStyle w:val="BodyText"/>
            </w:pPr>
            <w:r w:rsidRPr="004954EF">
              <w:rPr>
                <w:rStyle w:val="SpecialBold"/>
              </w:rPr>
              <w:t>Complete maintenance work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Inspection of maintenance work is arranged in compliance with maintenance standards and regulatory requirements</w:t>
            </w:r>
          </w:p>
        </w:tc>
      </w:tr>
      <w:tr w:rsidTr="00495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Action is taken to rectify maintenance defects (non-conformances) found during the maintenance work inspection</w:t>
            </w:r>
          </w:p>
        </w:tc>
      </w:tr>
      <w:tr w:rsidTr="00495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Safety assessment for isolation of equipment is recorded in accordance with maintenance standards</w:t>
            </w:r>
          </w:p>
        </w:tc>
      </w:tr>
      <w:tr w:rsidTr="004954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 w:rsidP="004954EF">
            <w:pPr>
              <w:pStyle w:val="BodyText"/>
            </w:pPr>
            <w:r w:rsidRPr="004954EF">
              <w:t>Completed maintenance work is doc</w:t>
            </w:r>
            <w:r w:rsidRPr="004954EF">
              <w:t>umented in accordance with requirements</w:t>
            </w:r>
            <w:r w:rsidRPr="004954EF">
              <w:tab/>
              <w:t xml:space="preserve"> and forwarded to relevant person/s for inclusion in the verification dossier</w:t>
            </w:r>
          </w:p>
        </w:tc>
      </w:tr>
    </w:tbl>
    <w:p w:rsidR="00000000" w:rsidRPr="004954EF" w:rsidP="004954EF">
      <w:pPr>
        <w:pStyle w:val="NoPaddingFontSize1"/>
      </w:pPr>
    </w:p>
    <w:p w:rsidR="00000000" w:rsidRPr="004954EF" w:rsidP="004954EF">
      <w:pPr>
        <w:pStyle w:val="AllowPageBreak"/>
      </w:pPr>
    </w:p>
    <w:p w:rsidR="00000000" w:rsidRPr="004954EF" w:rsidP="004954EF">
      <w:pPr>
        <w:pStyle w:val="Heading1"/>
      </w:pPr>
      <w:bookmarkStart w:id="7" w:name="O_1081990"/>
      <w:bookmarkEnd w:id="7"/>
      <w:r w:rsidRPr="004954E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 w:rsidP="004954EF">
            <w:pPr>
              <w:pStyle w:val="BodyText"/>
            </w:pPr>
            <w:r w:rsidRPr="004954EF">
              <w:t>Foundation skills essential to performance are explicit in the performance criteria of this unit of</w:t>
            </w:r>
            <w:r w:rsidRPr="004954EF">
              <w:t xml:space="preserve"> competency.</w:t>
            </w:r>
          </w:p>
        </w:tc>
      </w:tr>
    </w:tbl>
    <w:p w:rsidR="00000000" w:rsidRPr="004954EF" w:rsidP="004954EF">
      <w:pPr>
        <w:pStyle w:val="NoPaddingFontSize1"/>
      </w:pPr>
    </w:p>
    <w:p w:rsidR="00000000" w:rsidRPr="004954EF" w:rsidP="004954EF">
      <w:pPr>
        <w:pStyle w:val="AllowPageBreak"/>
      </w:pPr>
    </w:p>
    <w:p w:rsidR="00000000" w:rsidRPr="004954EF" w:rsidP="004954EF">
      <w:pPr>
        <w:pStyle w:val="Heading1"/>
      </w:pPr>
      <w:bookmarkStart w:id="8" w:name="O_1081991"/>
      <w:bookmarkEnd w:id="8"/>
      <w:r w:rsidRPr="004954E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95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 w:rsidP="004954EF">
            <w:pPr>
              <w:pStyle w:val="BodyText"/>
            </w:pPr>
            <w:r w:rsidRPr="004954EF">
              <w:t>Range is restricted to essential operating conditions and any other variables essential to the work environment.</w:t>
            </w:r>
          </w:p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Non-essential conditions may be found in the UEE Electrotechnology Training Package Companion Volume Implementation Guide.</w:t>
            </w:r>
          </w:p>
        </w:tc>
      </w:tr>
      <w:tr w:rsidTr="00495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54EF">
            <w:pPr>
              <w:pStyle w:val="BodyText"/>
              <w:rPr>
                <w:lang w:val="en-NZ"/>
              </w:rPr>
            </w:pPr>
            <w:r w:rsidRPr="004954EF">
              <w:t>Maintaining equipment associated with hazardous areas must include: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 w:rsidP="004954EF">
            <w:pPr>
              <w:pStyle w:val="ListBullet"/>
            </w:pPr>
            <w:r w:rsidRPr="004954EF">
              <w:t>maintaining electrical equipment in a classified hazardous are</w:t>
            </w:r>
            <w:r w:rsidRPr="004954EF">
              <w:t>a</w:t>
            </w:r>
          </w:p>
        </w:tc>
      </w:tr>
    </w:tbl>
    <w:p w:rsidR="00000000" w:rsidRPr="004954EF" w:rsidP="004954EF">
      <w:pPr>
        <w:pStyle w:val="NoPaddingFontSize1"/>
      </w:pPr>
    </w:p>
    <w:p w:rsidR="00000000" w:rsidRPr="004954EF" w:rsidP="004954EF">
      <w:pPr>
        <w:pStyle w:val="AllowPageBreak"/>
      </w:pPr>
    </w:p>
    <w:p w:rsidR="00000000" w:rsidRPr="004954EF" w:rsidP="004954EF">
      <w:pPr>
        <w:pStyle w:val="Heading1"/>
      </w:pPr>
      <w:bookmarkStart w:id="9" w:name="O_1081992"/>
      <w:bookmarkEnd w:id="9"/>
      <w:r w:rsidRPr="004954E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954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54EF" w:rsidP="004954EF">
            <w:pPr>
              <w:pStyle w:val="BodyText"/>
            </w:pPr>
            <w:r w:rsidRPr="004954EF">
              <w:t>No equivalent unit.</w:t>
            </w:r>
          </w:p>
        </w:tc>
      </w:tr>
    </w:tbl>
    <w:p w:rsidR="00000000" w:rsidRPr="004954EF" w:rsidP="004954EF">
      <w:pPr>
        <w:pStyle w:val="NoPaddingFontSize1"/>
      </w:pPr>
    </w:p>
    <w:p w:rsidR="00000000" w:rsidRPr="004954EF" w:rsidP="004954EF">
      <w:pPr>
        <w:pStyle w:val="AllowPageBreak"/>
      </w:pPr>
    </w:p>
    <w:p w:rsidR="00000000" w:rsidRPr="004954EF" w:rsidP="004954EF">
      <w:pPr>
        <w:pStyle w:val="Heading1"/>
      </w:pPr>
      <w:bookmarkStart w:id="10" w:name="O_1081999"/>
      <w:bookmarkEnd w:id="10"/>
      <w:r w:rsidRPr="004954EF">
        <w:t>Links</w:t>
      </w:r>
    </w:p>
    <w:p w:rsidR="00000000" w:rsidRPr="004954EF" w:rsidP="007013A7">
      <w:pPr>
        <w:pStyle w:val="BodyText"/>
      </w:pPr>
      <w:r w:rsidRPr="004954EF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7051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954EF" w:rsidP="004954EF"/>
    <w:sectPr w:rsidSect="004954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4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4EF" w:rsidRPr="007013A7" w:rsidP="007013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4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A7" w:rsidP="004954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13A7" w:rsidP="004954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013A7" w:rsidP="004954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4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54EF" w:rsidRPr="007013A7" w:rsidP="007013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4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13A7" w:rsidRPr="002D2AF8" w:rsidP="004954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UEEHA0006 Maintain equipment associated with hazardous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7013A7" w:rsidP="004954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1A1C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64D0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54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54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54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54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54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54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54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54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54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54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54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54EF"/>
  </w:style>
  <w:style w:type="character" w:customStyle="1" w:styleId="Heading1Char">
    <w:name w:val="Heading 1 Char"/>
    <w:basedOn w:val="DefaultParagraphFont"/>
    <w:link w:val="Heading1"/>
    <w:rsid w:val="004954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54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54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54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54EF"/>
    <w:rPr>
      <w:b/>
      <w:spacing w:val="0"/>
    </w:rPr>
  </w:style>
  <w:style w:type="paragraph" w:customStyle="1" w:styleId="SuperHeading">
    <w:name w:val="SuperHeading"/>
    <w:basedOn w:val="Normal"/>
    <w:rsid w:val="004954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54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954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54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54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5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54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5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54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54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54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54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54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54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54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54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54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54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54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54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54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54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54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54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54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54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54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54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54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54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54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54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54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54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54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54EF"/>
    <w:rPr>
      <w:i/>
    </w:rPr>
  </w:style>
  <w:style w:type="paragraph" w:styleId="Caption">
    <w:name w:val="caption"/>
    <w:basedOn w:val="BodyText"/>
    <w:next w:val="Normal"/>
    <w:qFormat/>
    <w:rsid w:val="004954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54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54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54EF"/>
  </w:style>
  <w:style w:type="paragraph" w:styleId="TableofFigures">
    <w:name w:val="table of figures"/>
    <w:basedOn w:val="Normal"/>
    <w:next w:val="Normal"/>
    <w:semiHidden/>
    <w:rsid w:val="004954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54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54EF"/>
    <w:rPr>
      <w:rFonts w:ascii="Wingdings" w:hAnsi="Wingdings"/>
    </w:rPr>
  </w:style>
  <w:style w:type="paragraph" w:customStyle="1" w:styleId="TableHeading">
    <w:name w:val="Table Heading"/>
    <w:basedOn w:val="HeadingBase"/>
    <w:rsid w:val="004954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54EF"/>
    <w:rPr>
      <w:color w:val="0033CC"/>
      <w:u w:val="none"/>
    </w:rPr>
  </w:style>
  <w:style w:type="paragraph" w:customStyle="1" w:styleId="BodyTextRight">
    <w:name w:val="Body Text Right"/>
    <w:basedOn w:val="BodyText"/>
    <w:rsid w:val="004954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54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54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54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54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54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54EF"/>
    <w:rPr>
      <w:sz w:val="32"/>
    </w:rPr>
  </w:style>
  <w:style w:type="paragraph" w:customStyle="1" w:styleId="HeadingProcedure">
    <w:name w:val="Heading Procedure"/>
    <w:basedOn w:val="HeadingBase"/>
    <w:next w:val="Normal"/>
    <w:rsid w:val="004954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54EF"/>
    <w:pPr>
      <w:spacing w:before="60" w:after="60"/>
    </w:pPr>
  </w:style>
  <w:style w:type="paragraph" w:styleId="ListContinue">
    <w:name w:val="List Continue"/>
    <w:basedOn w:val="List"/>
    <w:rsid w:val="004954EF"/>
    <w:pPr>
      <w:ind w:firstLine="0"/>
    </w:pPr>
  </w:style>
  <w:style w:type="paragraph" w:customStyle="1" w:styleId="ListNote">
    <w:name w:val="List Note"/>
    <w:basedOn w:val="List"/>
    <w:rsid w:val="004954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54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54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54EF"/>
    <w:rPr>
      <w:rFonts w:ascii="Courier New" w:hAnsi="Courier New"/>
    </w:rPr>
  </w:style>
  <w:style w:type="paragraph" w:customStyle="1" w:styleId="NoteBullet">
    <w:name w:val="Note Bullet"/>
    <w:basedOn w:val="Note"/>
    <w:rsid w:val="004954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54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54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54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54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54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54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54EF"/>
    <w:rPr>
      <w:b/>
      <w:smallCaps/>
    </w:rPr>
  </w:style>
  <w:style w:type="paragraph" w:customStyle="1" w:styleId="TableListNumber">
    <w:name w:val="Table List Number"/>
    <w:basedOn w:val="ListNumber"/>
    <w:rsid w:val="004954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54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54EF"/>
    <w:pPr>
      <w:numPr>
        <w:numId w:val="8"/>
      </w:numPr>
    </w:pPr>
  </w:style>
  <w:style w:type="paragraph" w:customStyle="1" w:styleId="ListAlpha2">
    <w:name w:val="List Alpha 2"/>
    <w:basedOn w:val="List2"/>
    <w:rsid w:val="004954EF"/>
    <w:pPr>
      <w:numPr>
        <w:numId w:val="7"/>
      </w:numPr>
    </w:pPr>
  </w:style>
  <w:style w:type="paragraph" w:styleId="List2">
    <w:name w:val="List 2"/>
    <w:basedOn w:val="BodyText"/>
    <w:rsid w:val="004954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54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54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54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54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54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54EF"/>
    <w:pPr>
      <w:numPr>
        <w:numId w:val="3"/>
      </w:numPr>
    </w:pPr>
  </w:style>
  <w:style w:type="paragraph" w:styleId="ListContinue2">
    <w:name w:val="List Continue 2"/>
    <w:basedOn w:val="List2"/>
    <w:rsid w:val="004954EF"/>
    <w:pPr>
      <w:ind w:firstLine="0"/>
    </w:pPr>
  </w:style>
  <w:style w:type="paragraph" w:styleId="ListContinue3">
    <w:name w:val="List Continue 3"/>
    <w:basedOn w:val="List3"/>
    <w:rsid w:val="004954EF"/>
    <w:pPr>
      <w:ind w:left="1021" w:firstLine="0"/>
    </w:pPr>
  </w:style>
  <w:style w:type="paragraph" w:styleId="ListContinue4">
    <w:name w:val="List Continue 4"/>
    <w:basedOn w:val="List4"/>
    <w:rsid w:val="004954EF"/>
    <w:pPr>
      <w:ind w:firstLine="0"/>
    </w:pPr>
  </w:style>
  <w:style w:type="paragraph" w:styleId="ListContinue5">
    <w:name w:val="List Continue 5"/>
    <w:basedOn w:val="List5"/>
    <w:rsid w:val="004954EF"/>
    <w:pPr>
      <w:ind w:firstLine="0"/>
    </w:pPr>
  </w:style>
  <w:style w:type="paragraph" w:styleId="ListNumber3">
    <w:name w:val="List Number 3"/>
    <w:basedOn w:val="List3"/>
    <w:rsid w:val="004954EF"/>
    <w:pPr>
      <w:numPr>
        <w:numId w:val="4"/>
      </w:numPr>
    </w:pPr>
  </w:style>
  <w:style w:type="paragraph" w:styleId="ListNumber4">
    <w:name w:val="List Number 4"/>
    <w:basedOn w:val="List4"/>
    <w:rsid w:val="004954EF"/>
    <w:pPr>
      <w:numPr>
        <w:numId w:val="5"/>
      </w:numPr>
    </w:pPr>
  </w:style>
  <w:style w:type="paragraph" w:styleId="ListNumber5">
    <w:name w:val="List Number 5"/>
    <w:basedOn w:val="List5"/>
    <w:rsid w:val="004954EF"/>
    <w:pPr>
      <w:numPr>
        <w:numId w:val="6"/>
      </w:numPr>
    </w:pPr>
  </w:style>
  <w:style w:type="paragraph" w:styleId="BlockText">
    <w:name w:val="Block Text"/>
    <w:basedOn w:val="Normal"/>
    <w:rsid w:val="004954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54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54EF"/>
    <w:rPr>
      <w:sz w:val="16"/>
      <w:vertAlign w:val="superscript"/>
    </w:rPr>
  </w:style>
  <w:style w:type="character" w:customStyle="1" w:styleId="Symbols">
    <w:name w:val="Symbols"/>
    <w:basedOn w:val="DefaultParagraphFont"/>
    <w:rsid w:val="004954EF"/>
    <w:rPr>
      <w:rFonts w:ascii="Symbol" w:hAnsi="Symbol"/>
    </w:rPr>
  </w:style>
  <w:style w:type="character" w:customStyle="1" w:styleId="MenuOptions">
    <w:name w:val="Menu Options"/>
    <w:basedOn w:val="DefaultParagraphFont"/>
    <w:rsid w:val="004954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54EF"/>
    <w:rPr>
      <w:b/>
    </w:rPr>
  </w:style>
  <w:style w:type="character" w:customStyle="1" w:styleId="Underlined">
    <w:name w:val="Underlined"/>
    <w:basedOn w:val="DefaultParagraphFont"/>
    <w:rsid w:val="004954EF"/>
    <w:rPr>
      <w:u w:val="single"/>
    </w:rPr>
  </w:style>
  <w:style w:type="paragraph" w:customStyle="1" w:styleId="TableBodyTextRight">
    <w:name w:val="Table Body Text Right"/>
    <w:basedOn w:val="TableBodyText"/>
    <w:rsid w:val="004954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54EF"/>
    <w:rPr>
      <w:sz w:val="18"/>
    </w:rPr>
  </w:style>
  <w:style w:type="paragraph" w:customStyle="1" w:styleId="BodySmallRight">
    <w:name w:val="Body Small Right"/>
    <w:basedOn w:val="BodyTextRight"/>
    <w:rsid w:val="004954EF"/>
    <w:rPr>
      <w:sz w:val="18"/>
      <w:szCs w:val="18"/>
    </w:rPr>
  </w:style>
  <w:style w:type="paragraph" w:customStyle="1" w:styleId="MarginEdition">
    <w:name w:val="Margin Edition"/>
    <w:basedOn w:val="MarginNote"/>
    <w:rsid w:val="004954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54EF"/>
    <w:rPr>
      <w:sz w:val="2"/>
      <w:szCs w:val="2"/>
    </w:rPr>
  </w:style>
  <w:style w:type="character" w:customStyle="1" w:styleId="Small">
    <w:name w:val="Small"/>
    <w:basedOn w:val="DefaultParagraphFont"/>
    <w:rsid w:val="004954EF"/>
    <w:rPr>
      <w:sz w:val="16"/>
    </w:rPr>
  </w:style>
  <w:style w:type="paragraph" w:customStyle="1" w:styleId="WideTable">
    <w:name w:val="Wide Table"/>
    <w:basedOn w:val="Normal"/>
    <w:rsid w:val="004954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54EF"/>
  </w:style>
  <w:style w:type="paragraph" w:styleId="Quote">
    <w:name w:val="Quote"/>
    <w:basedOn w:val="Heading1"/>
    <w:link w:val="QuoteChar"/>
    <w:qFormat/>
    <w:rsid w:val="004954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54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54EF"/>
    <w:pPr>
      <w:pageBreakBefore/>
    </w:pPr>
  </w:style>
  <w:style w:type="paragraph" w:customStyle="1" w:styleId="Border">
    <w:name w:val="Border"/>
    <w:basedOn w:val="Normal"/>
    <w:qFormat/>
    <w:rsid w:val="004954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54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54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54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54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54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54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54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54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54EF"/>
    <w:rPr>
      <w:u w:val="single"/>
    </w:rPr>
  </w:style>
  <w:style w:type="character" w:customStyle="1" w:styleId="BoldandItalics">
    <w:name w:val="Bold and Italics"/>
    <w:qFormat/>
    <w:rsid w:val="004954EF"/>
    <w:rPr>
      <w:b/>
      <w:i/>
      <w:u w:val="none"/>
    </w:rPr>
  </w:style>
  <w:style w:type="paragraph" w:styleId="BalloonText">
    <w:name w:val="Balloon Text"/>
    <w:basedOn w:val="Normal"/>
    <w:link w:val="BalloonTextChar"/>
    <w:rsid w:val="004954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54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54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54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54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54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54EF"/>
    <w:pPr>
      <w:spacing w:before="0" w:after="0"/>
    </w:pPr>
  </w:style>
  <w:style w:type="paragraph" w:customStyle="1" w:styleId="BodyTextBold">
    <w:name w:val="Body Text Bold"/>
    <w:basedOn w:val="BodyText"/>
    <w:qFormat/>
    <w:rsid w:val="004954EF"/>
    <w:rPr>
      <w:b/>
    </w:rPr>
  </w:style>
  <w:style w:type="character" w:styleId="Hyperlink">
    <w:name w:val="Hyperlink"/>
    <w:basedOn w:val="DefaultParagraphFont"/>
    <w:uiPriority w:val="99"/>
    <w:unhideWhenUsed/>
    <w:rsid w:val="00701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4871</Characters>
  <Application>Microsoft Office Word</Application>
  <DocSecurity>0</DocSecurity>
  <Lines>202</Lines>
  <Paragraphs>97</Paragraphs>
  <ScaleCrop>false</ScaleCrop>
  <Company>Author-it Software Corporation Ltd.</Company>
  <LinksUpToDate>false</LinksUpToDate>
  <CharactersWithSpaces>5531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UEEHA0006 Maintain equipment associated with hazardous areas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2022-07-19T04:32:00Z</dcterms:created>
  <dcterms:modified xsi:type="dcterms:W3CDTF">2022-07-19T04:32:00Z</dcterms:modified>
</cp:coreProperties>
</file>