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E08" w:rsidP="009E1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UEEHA0004 Enter a classified hazardous area to undertake work related to electrical equipment</w:t>
      </w:r>
      <w:r>
        <w:fldChar w:fldCharType="end"/>
      </w:r>
    </w:p>
    <w:p w:rsidR="009E1E08" w:rsidP="009E1E08">
      <w:pPr>
        <w:pStyle w:val="Version"/>
        <w:sectPr w:rsidSect="006A4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C56" w:rsidP="006A4C56">
      <w:pPr>
        <w:pStyle w:val="SuperHeading"/>
      </w:pPr>
      <w:r w:rsidRPr="006A4C56">
        <w:t>UEEHA0004 Enter a classified hazardous area to undertake work related to electrical equipment</w:t>
      </w:r>
    </w:p>
    <w:p w:rsidR="00000000" w:rsidRPr="006A4C56" w:rsidP="006A4C56">
      <w:pPr>
        <w:pStyle w:val="Heading1"/>
      </w:pPr>
      <w:bookmarkStart w:id="1" w:name="O_1081946"/>
      <w:bookmarkEnd w:id="1"/>
      <w:r w:rsidRPr="006A4C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t>Release 1. This is the first release of this unit of competency in the UEE Electrotechnology Training Package.</w:t>
            </w:r>
          </w:p>
        </w:tc>
      </w:tr>
    </w:tbl>
    <w:p w:rsidR="00000000" w:rsidRPr="006A4C56" w:rsidP="006A4C56">
      <w:pPr>
        <w:pStyle w:val="NoPaddingFontSize1"/>
      </w:pPr>
    </w:p>
    <w:p w:rsidR="00000000" w:rsidRPr="006A4C56" w:rsidP="006A4C56">
      <w:pPr>
        <w:pStyle w:val="AllowPageBreak"/>
      </w:pPr>
    </w:p>
    <w:p w:rsidR="00000000" w:rsidRPr="006A4C56" w:rsidP="006A4C56">
      <w:pPr>
        <w:pStyle w:val="Heading1"/>
      </w:pPr>
      <w:bookmarkStart w:id="2" w:name="O_1081947"/>
      <w:bookmarkEnd w:id="2"/>
      <w:r w:rsidRPr="006A4C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t xml:space="preserve">This unit involves the skills and knowledge required to enter a classified hazardous area to undertake work related to electrical equipment. It includes the obligations and safety practices for entering a classified hazardous </w:t>
            </w:r>
            <w:r w:rsidRPr="006A4C56">
              <w:t>area. It covers risks associated with flammable gas/vapours or combustible dust and the need for areas where such substances may be present to be classified as explosive atmosphere areas; basic principles of explosion-protected electrical equipment; the li</w:t>
            </w:r>
            <w:r w:rsidRPr="006A4C56">
              <w:t>mitations of devices/equipment that be may be taken into the area; health and safety responsibilities; and the necessary procedures to enter and work in explosive atmosphere areas. It is adopted from clause 2.2 of AS/NZS 4761.1:2018 Competencies for workin</w:t>
            </w:r>
            <w:r w:rsidRPr="006A4C56">
              <w:t>g with electrical equipment for hazardous areas (EEHA).</w:t>
            </w:r>
          </w:p>
          <w:p w:rsidR="00000000" w:rsidRPr="006A4C56" w:rsidP="006A4C56">
            <w:pPr>
              <w:pStyle w:val="BodyText"/>
            </w:pPr>
            <w:r w:rsidRPr="006A4C56">
              <w:t>This unit can be used in relation to any job function requiring entry to a classified hazardous area.</w:t>
            </w:r>
          </w:p>
          <w:p w:rsidR="00000000" w:rsidRPr="006A4C56" w:rsidP="006A4C56">
            <w:pPr>
              <w:pStyle w:val="BodyText"/>
            </w:pPr>
            <w:r w:rsidRPr="006A4C56">
              <w:t>Site-specific work permits maybe required to work in the hazardous environment. In addition, other</w:t>
            </w:r>
            <w:r w:rsidRPr="006A4C56">
              <w:t xml:space="preserve"> permits may be required, such as confined space and to operate specific pieces of equipment, such as elevated work platforms (EWPs), in various jurisdictions.</w:t>
            </w:r>
          </w:p>
          <w:p w:rsidR="00000000" w:rsidRPr="006A4C56" w:rsidP="006A4C56">
            <w:pPr>
              <w:pStyle w:val="BodyText"/>
            </w:pPr>
            <w:r w:rsidRPr="006A4C56">
              <w:t>Additional and/or other conditions may apply in some jurisdictions subject to regulations relate</w:t>
            </w:r>
            <w:r w:rsidRPr="006A4C56">
              <w:t>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6A4C56" w:rsidP="006A4C56">
      <w:pPr>
        <w:pStyle w:val="NoPaddingFontSize1"/>
      </w:pPr>
    </w:p>
    <w:p w:rsidR="00000000" w:rsidRPr="006A4C56" w:rsidP="006A4C56">
      <w:pPr>
        <w:pStyle w:val="AllowPageBreak"/>
      </w:pPr>
    </w:p>
    <w:p w:rsidR="00000000" w:rsidRPr="006A4C56" w:rsidP="006A4C56">
      <w:pPr>
        <w:pStyle w:val="Heading1"/>
      </w:pPr>
      <w:bookmarkStart w:id="3" w:name="O_1081948"/>
      <w:bookmarkEnd w:id="3"/>
      <w:r w:rsidRPr="006A4C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t>Not applicable.</w:t>
            </w:r>
          </w:p>
        </w:tc>
      </w:tr>
    </w:tbl>
    <w:p w:rsidR="00000000" w:rsidRPr="006A4C56" w:rsidP="006A4C56">
      <w:pPr>
        <w:pStyle w:val="NoPaddingFontSize1"/>
      </w:pPr>
    </w:p>
    <w:p w:rsidR="00000000" w:rsidRPr="006A4C56" w:rsidP="006A4C56">
      <w:pPr>
        <w:pStyle w:val="AllowPageBreak"/>
      </w:pPr>
    </w:p>
    <w:p w:rsidR="00000000" w:rsidRPr="006A4C56" w:rsidP="006A4C56">
      <w:pPr>
        <w:pStyle w:val="Heading1"/>
      </w:pPr>
      <w:bookmarkStart w:id="4" w:name="O_1081949"/>
      <w:bookmarkEnd w:id="4"/>
      <w:r w:rsidRPr="006A4C56">
        <w:t>Competency Fi</w:t>
      </w:r>
      <w:r w:rsidRPr="006A4C56">
        <w:t>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t>Hazardous</w:t>
            </w:r>
          </w:p>
        </w:tc>
      </w:tr>
    </w:tbl>
    <w:p w:rsidR="00000000" w:rsidRPr="006A4C56" w:rsidP="006A4C56">
      <w:pPr>
        <w:pStyle w:val="NoPaddingFontSize1"/>
      </w:pPr>
    </w:p>
    <w:p w:rsidR="00000000" w:rsidRPr="006A4C56" w:rsidP="006A4C56">
      <w:pPr>
        <w:pStyle w:val="AllowPageBreak"/>
      </w:pPr>
    </w:p>
    <w:p w:rsidR="00000000" w:rsidRPr="006A4C56" w:rsidP="006A4C56">
      <w:pPr>
        <w:pStyle w:val="Heading1"/>
      </w:pPr>
      <w:bookmarkStart w:id="5" w:name="O_1081950"/>
      <w:bookmarkEnd w:id="5"/>
      <w:r w:rsidRPr="006A4C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t>Electrotechnology</w:t>
            </w:r>
          </w:p>
        </w:tc>
      </w:tr>
    </w:tbl>
    <w:p w:rsidR="00000000" w:rsidRPr="006A4C56" w:rsidP="006A4C56">
      <w:pPr>
        <w:pStyle w:val="NoPaddingFontSize1"/>
      </w:pPr>
    </w:p>
    <w:p w:rsidR="00000000" w:rsidRPr="006A4C56" w:rsidP="006A4C56">
      <w:pPr>
        <w:pStyle w:val="AllowPageBreak"/>
      </w:pPr>
    </w:p>
    <w:p w:rsidR="00000000" w:rsidRPr="006A4C56" w:rsidP="006A4C56">
      <w:pPr>
        <w:pStyle w:val="Heading1"/>
      </w:pPr>
      <w:bookmarkStart w:id="6" w:name="O_1081951"/>
      <w:bookmarkEnd w:id="6"/>
      <w:r w:rsidRPr="006A4C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rPr>
                <w:rStyle w:val="SpecialBold"/>
              </w:rPr>
              <w:t>PERFORMANCE CRITERIA</w:t>
            </w:r>
          </w:p>
        </w:tc>
      </w:tr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Performance criteria describe the performance needed to demonstrate achievement of the element.</w:t>
            </w:r>
          </w:p>
        </w:tc>
      </w:tr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rPr>
                <w:rStyle w:val="SpecialBold"/>
              </w:rPr>
              <w:t>Prepare to enter and work in a classified hazardous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The need for specific s</w:t>
            </w:r>
            <w:r w:rsidRPr="006A4C56">
              <w:t>afety, entry and work procedures is understood based on knowledge of the properties of flammable substances, the nature of hazardous areas and explosion-protected electrical equipment, and the responsibilities of owners/occupiers for safety of the area</w:t>
            </w:r>
          </w:p>
        </w:tc>
      </w:tr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Site safety procedures related to the explosive atmosphere area are obtained from the person authorised to issue site safety procedures and entry and clearance-to-work permits</w:t>
            </w:r>
          </w:p>
        </w:tc>
      </w:tr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Site safety procedures related to the hazardous area are obtained, interpreted and applied</w:t>
            </w:r>
          </w:p>
        </w:tc>
      </w:tr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Permission to take required devices and equipment into a hazardous area is obtained from the authorised person</w:t>
            </w:r>
          </w:p>
        </w:tc>
      </w:tr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 xml:space="preserve">Entry and clearance-to-work permits are </w:t>
            </w:r>
            <w:r w:rsidRPr="006A4C56">
              <w:t>obtained from the authorised person, read and understood</w:t>
            </w:r>
          </w:p>
        </w:tc>
      </w:tr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rPr>
                <w:rStyle w:val="SpecialBold"/>
              </w:rPr>
              <w:t>Follow safety instructions and procedures in a classified explosive atmosphere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Site safety procedures</w:t>
            </w:r>
            <w:r w:rsidRPr="006A4C56">
              <w:tab/>
              <w:t>including entry and clearance-to-work permits are followed</w:t>
            </w:r>
          </w:p>
        </w:tc>
      </w:tr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Limitations on the use o</w:t>
            </w:r>
            <w:r w:rsidRPr="006A4C56">
              <w:t>f devices and equipment permitted that can be taken into the hazardous area are followed</w:t>
            </w:r>
          </w:p>
        </w:tc>
      </w:tr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Instructions and signage related to the hazardous area are followed</w:t>
            </w:r>
          </w:p>
        </w:tc>
      </w:tr>
      <w:tr w:rsidTr="006A4C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t>Emergency procedures and instructions are followed</w:t>
            </w:r>
          </w:p>
        </w:tc>
      </w:tr>
    </w:tbl>
    <w:p w:rsidR="00000000" w:rsidRPr="006A4C56" w:rsidP="006A4C56">
      <w:pPr>
        <w:pStyle w:val="NoPaddingFontSize1"/>
      </w:pPr>
    </w:p>
    <w:p w:rsidR="00000000" w:rsidRPr="006A4C56" w:rsidP="006A4C56">
      <w:pPr>
        <w:pStyle w:val="AllowPageBreak"/>
      </w:pPr>
    </w:p>
    <w:p w:rsidR="00000000" w:rsidRPr="006A4C56" w:rsidP="006A4C56">
      <w:pPr>
        <w:pStyle w:val="Heading1"/>
      </w:pPr>
      <w:bookmarkStart w:id="7" w:name="O_1081952"/>
      <w:bookmarkEnd w:id="7"/>
      <w:r w:rsidRPr="006A4C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t>Foundation skills essential to performance are explicit in the performance criteria of this unit of competency.</w:t>
            </w:r>
          </w:p>
        </w:tc>
      </w:tr>
    </w:tbl>
    <w:p w:rsidR="00000000" w:rsidRPr="006A4C56" w:rsidP="006A4C56">
      <w:pPr>
        <w:pStyle w:val="NoPaddingFontSize1"/>
      </w:pPr>
    </w:p>
    <w:p w:rsidR="00000000" w:rsidRPr="006A4C56" w:rsidP="006A4C56">
      <w:pPr>
        <w:pStyle w:val="AllowPageBreak"/>
      </w:pPr>
    </w:p>
    <w:p w:rsidR="00000000" w:rsidRPr="006A4C56" w:rsidP="006A4C56">
      <w:pPr>
        <w:pStyle w:val="Heading1"/>
      </w:pPr>
      <w:bookmarkStart w:id="8" w:name="O_1081953"/>
      <w:bookmarkEnd w:id="8"/>
      <w:r w:rsidRPr="006A4C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A4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t>Range is restricted to essential operating conditions and any other variables essential to the work environment.</w:t>
            </w:r>
          </w:p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Non-essential conditions may be found in the UEE Electrotechnology Training Package Companion Volume Implementation Guide.</w:t>
            </w:r>
          </w:p>
        </w:tc>
      </w:tr>
      <w:tr w:rsidTr="006A4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56">
            <w:pPr>
              <w:pStyle w:val="BodyText"/>
              <w:rPr>
                <w:lang w:val="en-NZ"/>
              </w:rPr>
            </w:pPr>
            <w:r w:rsidRPr="006A4C56">
              <w:t>Entering a classif</w:t>
            </w:r>
            <w:r w:rsidRPr="006A4C56">
              <w:t>ied hazardous area to undertake work related to electrical equipment.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ListBullet"/>
            </w:pPr>
            <w:r w:rsidRPr="006A4C56">
              <w:t>entering and applying safety responsibilities in an area classified as hazardous</w:t>
            </w:r>
          </w:p>
        </w:tc>
      </w:tr>
    </w:tbl>
    <w:p w:rsidR="00000000" w:rsidRPr="006A4C56" w:rsidP="006A4C56">
      <w:pPr>
        <w:pStyle w:val="NoPaddingFontSize1"/>
      </w:pPr>
    </w:p>
    <w:p w:rsidR="00000000" w:rsidRPr="006A4C56" w:rsidP="006A4C56">
      <w:pPr>
        <w:pStyle w:val="AllowPageBreak"/>
      </w:pPr>
    </w:p>
    <w:p w:rsidR="00000000" w:rsidRPr="006A4C56" w:rsidP="006A4C56">
      <w:pPr>
        <w:pStyle w:val="Heading1"/>
      </w:pPr>
      <w:bookmarkStart w:id="9" w:name="O_1081954"/>
      <w:bookmarkEnd w:id="9"/>
      <w:r w:rsidRPr="006A4C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56" w:rsidP="006A4C56">
            <w:pPr>
              <w:pStyle w:val="BodyText"/>
            </w:pPr>
            <w:r w:rsidRPr="006A4C56">
              <w:t>No equivalent unit.</w:t>
            </w:r>
          </w:p>
        </w:tc>
      </w:tr>
    </w:tbl>
    <w:p w:rsidR="00000000" w:rsidRPr="006A4C56" w:rsidP="006A4C56">
      <w:pPr>
        <w:pStyle w:val="NoPaddingFontSize1"/>
      </w:pPr>
    </w:p>
    <w:p w:rsidR="00000000" w:rsidRPr="006A4C56" w:rsidP="006A4C56">
      <w:pPr>
        <w:pStyle w:val="AllowPageBreak"/>
      </w:pPr>
    </w:p>
    <w:p w:rsidR="00000000" w:rsidRPr="006A4C56" w:rsidP="006A4C56">
      <w:pPr>
        <w:pStyle w:val="Heading1"/>
      </w:pPr>
      <w:bookmarkStart w:id="10" w:name="O_1081961"/>
      <w:bookmarkEnd w:id="10"/>
      <w:r w:rsidRPr="006A4C56">
        <w:t>Links</w:t>
      </w:r>
    </w:p>
    <w:p w:rsidR="00000000" w:rsidRPr="006A4C56" w:rsidP="009E1E08">
      <w:pPr>
        <w:pStyle w:val="BodyText"/>
      </w:pPr>
      <w:r w:rsidRPr="006A4C5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E2AC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A4C56" w:rsidP="006A4C56"/>
    <w:sectPr w:rsidSect="006A4C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56" w:rsidRPr="009E1E08" w:rsidP="009E1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08" w:rsidP="006A4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E08" w:rsidP="006A4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E1E08" w:rsidP="006A4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C56" w:rsidRPr="009E1E08" w:rsidP="009E1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08" w:rsidRPr="002D2AF8" w:rsidP="006A4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UEEHA0004 Enter a classified hazardous area to undertake work related to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E1E08" w:rsidP="006A4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1EA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F4C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C56"/>
  </w:style>
  <w:style w:type="character" w:customStyle="1" w:styleId="Heading1Char">
    <w:name w:val="Heading 1 Char"/>
    <w:basedOn w:val="DefaultParagraphFont"/>
    <w:link w:val="Heading1"/>
    <w:rsid w:val="006A4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C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C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C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4C56"/>
    <w:rPr>
      <w:b/>
      <w:spacing w:val="0"/>
    </w:rPr>
  </w:style>
  <w:style w:type="paragraph" w:customStyle="1" w:styleId="SuperHeading">
    <w:name w:val="SuperHeading"/>
    <w:basedOn w:val="Normal"/>
    <w:rsid w:val="006A4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4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C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C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C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C56"/>
    <w:rPr>
      <w:i/>
    </w:rPr>
  </w:style>
  <w:style w:type="paragraph" w:styleId="Caption">
    <w:name w:val="caption"/>
    <w:basedOn w:val="BodyText"/>
    <w:next w:val="Normal"/>
    <w:qFormat/>
    <w:rsid w:val="006A4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C56"/>
  </w:style>
  <w:style w:type="paragraph" w:styleId="TableofFigures">
    <w:name w:val="table of figures"/>
    <w:basedOn w:val="Normal"/>
    <w:next w:val="Normal"/>
    <w:semiHidden/>
    <w:rsid w:val="006A4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C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4C56"/>
    <w:rPr>
      <w:rFonts w:ascii="Wingdings" w:hAnsi="Wingdings"/>
    </w:rPr>
  </w:style>
  <w:style w:type="paragraph" w:customStyle="1" w:styleId="TableHeading">
    <w:name w:val="Table Heading"/>
    <w:basedOn w:val="HeadingBase"/>
    <w:rsid w:val="006A4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C56"/>
    <w:rPr>
      <w:color w:val="0033CC"/>
      <w:u w:val="none"/>
    </w:rPr>
  </w:style>
  <w:style w:type="paragraph" w:customStyle="1" w:styleId="BodyTextRight">
    <w:name w:val="Body Text Right"/>
    <w:basedOn w:val="BodyText"/>
    <w:rsid w:val="006A4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C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C56"/>
    <w:rPr>
      <w:sz w:val="32"/>
    </w:rPr>
  </w:style>
  <w:style w:type="paragraph" w:customStyle="1" w:styleId="HeadingProcedure">
    <w:name w:val="Heading Procedure"/>
    <w:basedOn w:val="HeadingBase"/>
    <w:next w:val="Normal"/>
    <w:rsid w:val="006A4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C56"/>
    <w:pPr>
      <w:spacing w:before="60" w:after="60"/>
    </w:pPr>
  </w:style>
  <w:style w:type="paragraph" w:styleId="ListContinue">
    <w:name w:val="List Continue"/>
    <w:basedOn w:val="List"/>
    <w:rsid w:val="006A4C56"/>
    <w:pPr>
      <w:ind w:firstLine="0"/>
    </w:pPr>
  </w:style>
  <w:style w:type="paragraph" w:customStyle="1" w:styleId="ListNote">
    <w:name w:val="List Note"/>
    <w:basedOn w:val="List"/>
    <w:rsid w:val="006A4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C56"/>
    <w:rPr>
      <w:rFonts w:ascii="Courier New" w:hAnsi="Courier New"/>
    </w:rPr>
  </w:style>
  <w:style w:type="paragraph" w:customStyle="1" w:styleId="NoteBullet">
    <w:name w:val="Note Bullet"/>
    <w:basedOn w:val="Note"/>
    <w:rsid w:val="006A4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C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4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C56"/>
    <w:rPr>
      <w:b/>
      <w:smallCaps/>
    </w:rPr>
  </w:style>
  <w:style w:type="paragraph" w:customStyle="1" w:styleId="TableListNumber">
    <w:name w:val="Table List Number"/>
    <w:basedOn w:val="ListNumber"/>
    <w:rsid w:val="006A4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C56"/>
    <w:pPr>
      <w:numPr>
        <w:numId w:val="8"/>
      </w:numPr>
    </w:pPr>
  </w:style>
  <w:style w:type="paragraph" w:customStyle="1" w:styleId="ListAlpha2">
    <w:name w:val="List Alpha 2"/>
    <w:basedOn w:val="List2"/>
    <w:rsid w:val="006A4C56"/>
    <w:pPr>
      <w:numPr>
        <w:numId w:val="7"/>
      </w:numPr>
    </w:pPr>
  </w:style>
  <w:style w:type="paragraph" w:styleId="List2">
    <w:name w:val="List 2"/>
    <w:basedOn w:val="BodyText"/>
    <w:rsid w:val="006A4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C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C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4C56"/>
    <w:pPr>
      <w:numPr>
        <w:numId w:val="3"/>
      </w:numPr>
    </w:pPr>
  </w:style>
  <w:style w:type="paragraph" w:styleId="ListContinue2">
    <w:name w:val="List Continue 2"/>
    <w:basedOn w:val="List2"/>
    <w:rsid w:val="006A4C56"/>
    <w:pPr>
      <w:ind w:firstLine="0"/>
    </w:pPr>
  </w:style>
  <w:style w:type="paragraph" w:styleId="ListContinue3">
    <w:name w:val="List Continue 3"/>
    <w:basedOn w:val="List3"/>
    <w:rsid w:val="006A4C56"/>
    <w:pPr>
      <w:ind w:left="1021" w:firstLine="0"/>
    </w:pPr>
  </w:style>
  <w:style w:type="paragraph" w:styleId="ListContinue4">
    <w:name w:val="List Continue 4"/>
    <w:basedOn w:val="List4"/>
    <w:rsid w:val="006A4C56"/>
    <w:pPr>
      <w:ind w:firstLine="0"/>
    </w:pPr>
  </w:style>
  <w:style w:type="paragraph" w:styleId="ListContinue5">
    <w:name w:val="List Continue 5"/>
    <w:basedOn w:val="List5"/>
    <w:rsid w:val="006A4C56"/>
    <w:pPr>
      <w:ind w:firstLine="0"/>
    </w:pPr>
  </w:style>
  <w:style w:type="paragraph" w:styleId="ListNumber3">
    <w:name w:val="List Number 3"/>
    <w:basedOn w:val="List3"/>
    <w:rsid w:val="006A4C56"/>
    <w:pPr>
      <w:numPr>
        <w:numId w:val="4"/>
      </w:numPr>
    </w:pPr>
  </w:style>
  <w:style w:type="paragraph" w:styleId="ListNumber4">
    <w:name w:val="List Number 4"/>
    <w:basedOn w:val="List4"/>
    <w:rsid w:val="006A4C56"/>
    <w:pPr>
      <w:numPr>
        <w:numId w:val="5"/>
      </w:numPr>
    </w:pPr>
  </w:style>
  <w:style w:type="paragraph" w:styleId="ListNumber5">
    <w:name w:val="List Number 5"/>
    <w:basedOn w:val="List5"/>
    <w:rsid w:val="006A4C56"/>
    <w:pPr>
      <w:numPr>
        <w:numId w:val="6"/>
      </w:numPr>
    </w:pPr>
  </w:style>
  <w:style w:type="paragraph" w:styleId="BlockText">
    <w:name w:val="Block Text"/>
    <w:basedOn w:val="Normal"/>
    <w:rsid w:val="006A4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C56"/>
    <w:rPr>
      <w:sz w:val="16"/>
      <w:vertAlign w:val="superscript"/>
    </w:rPr>
  </w:style>
  <w:style w:type="character" w:customStyle="1" w:styleId="Symbols">
    <w:name w:val="Symbols"/>
    <w:basedOn w:val="DefaultParagraphFont"/>
    <w:rsid w:val="006A4C56"/>
    <w:rPr>
      <w:rFonts w:ascii="Symbol" w:hAnsi="Symbol"/>
    </w:rPr>
  </w:style>
  <w:style w:type="character" w:customStyle="1" w:styleId="MenuOptions">
    <w:name w:val="Menu Options"/>
    <w:basedOn w:val="DefaultParagraphFont"/>
    <w:rsid w:val="006A4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C56"/>
    <w:rPr>
      <w:b/>
    </w:rPr>
  </w:style>
  <w:style w:type="character" w:customStyle="1" w:styleId="Underlined">
    <w:name w:val="Underlined"/>
    <w:basedOn w:val="DefaultParagraphFont"/>
    <w:rsid w:val="006A4C56"/>
    <w:rPr>
      <w:u w:val="single"/>
    </w:rPr>
  </w:style>
  <w:style w:type="paragraph" w:customStyle="1" w:styleId="TableBodyTextRight">
    <w:name w:val="Table Body Text Right"/>
    <w:basedOn w:val="TableBodyText"/>
    <w:rsid w:val="006A4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C56"/>
    <w:rPr>
      <w:sz w:val="18"/>
    </w:rPr>
  </w:style>
  <w:style w:type="paragraph" w:customStyle="1" w:styleId="BodySmallRight">
    <w:name w:val="Body Small Right"/>
    <w:basedOn w:val="BodyTextRight"/>
    <w:rsid w:val="006A4C56"/>
    <w:rPr>
      <w:sz w:val="18"/>
      <w:szCs w:val="18"/>
    </w:rPr>
  </w:style>
  <w:style w:type="paragraph" w:customStyle="1" w:styleId="MarginEdition">
    <w:name w:val="Margin Edition"/>
    <w:basedOn w:val="MarginNote"/>
    <w:rsid w:val="006A4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C56"/>
    <w:rPr>
      <w:sz w:val="2"/>
      <w:szCs w:val="2"/>
    </w:rPr>
  </w:style>
  <w:style w:type="character" w:customStyle="1" w:styleId="Small">
    <w:name w:val="Small"/>
    <w:basedOn w:val="DefaultParagraphFont"/>
    <w:rsid w:val="006A4C56"/>
    <w:rPr>
      <w:sz w:val="16"/>
    </w:rPr>
  </w:style>
  <w:style w:type="paragraph" w:customStyle="1" w:styleId="WideTable">
    <w:name w:val="Wide Table"/>
    <w:basedOn w:val="Normal"/>
    <w:rsid w:val="006A4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C56"/>
  </w:style>
  <w:style w:type="paragraph" w:styleId="Quote">
    <w:name w:val="Quote"/>
    <w:basedOn w:val="Heading1"/>
    <w:link w:val="QuoteChar"/>
    <w:qFormat/>
    <w:rsid w:val="006A4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C56"/>
    <w:pPr>
      <w:pageBreakBefore/>
    </w:pPr>
  </w:style>
  <w:style w:type="paragraph" w:customStyle="1" w:styleId="Border">
    <w:name w:val="Border"/>
    <w:basedOn w:val="Normal"/>
    <w:qFormat/>
    <w:rsid w:val="006A4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C56"/>
    <w:rPr>
      <w:u w:val="single"/>
    </w:rPr>
  </w:style>
  <w:style w:type="character" w:customStyle="1" w:styleId="BoldandItalics">
    <w:name w:val="Bold and Italics"/>
    <w:qFormat/>
    <w:rsid w:val="006A4C56"/>
    <w:rPr>
      <w:b/>
      <w:i/>
      <w:u w:val="none"/>
    </w:rPr>
  </w:style>
  <w:style w:type="paragraph" w:styleId="BalloonText">
    <w:name w:val="Balloon Text"/>
    <w:basedOn w:val="Normal"/>
    <w:link w:val="BalloonTextChar"/>
    <w:rsid w:val="006A4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C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C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C56"/>
    <w:pPr>
      <w:spacing w:before="0" w:after="0"/>
    </w:pPr>
  </w:style>
  <w:style w:type="paragraph" w:customStyle="1" w:styleId="BodyTextBold">
    <w:name w:val="Body Text Bold"/>
    <w:basedOn w:val="BodyText"/>
    <w:qFormat/>
    <w:rsid w:val="006A4C56"/>
    <w:rPr>
      <w:b/>
    </w:rPr>
  </w:style>
  <w:style w:type="character" w:styleId="Hyperlink">
    <w:name w:val="Hyperlink"/>
    <w:basedOn w:val="DefaultParagraphFont"/>
    <w:uiPriority w:val="99"/>
    <w:unhideWhenUsed/>
    <w:rsid w:val="009E1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3686</Characters>
  <Application>Microsoft Office Word</Application>
  <DocSecurity>0</DocSecurity>
  <Lines>141</Lines>
  <Paragraphs>65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UEEHA0004 Enter a classified hazardous area to undertake work related to electrical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