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0B9" w:rsidP="008A20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UEEEL0071 Select low voltage power factor correction equipment</w:t>
      </w:r>
      <w:r>
        <w:fldChar w:fldCharType="end"/>
      </w:r>
    </w:p>
    <w:p w:rsidR="008A20B9" w:rsidP="008A20B9">
      <w:pPr>
        <w:pStyle w:val="Version"/>
        <w:sectPr w:rsidSect="00F81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1C23" w:rsidP="00F81C23">
      <w:pPr>
        <w:pStyle w:val="SuperHeading"/>
      </w:pPr>
      <w:r w:rsidRPr="00F81C23">
        <w:t>Assessment Requirements for UEEEL0071 Select low voltage power factor correction equipment</w:t>
      </w:r>
    </w:p>
    <w:p w:rsidR="00000000" w:rsidRPr="00F81C23" w:rsidP="00F81C23">
      <w:pPr>
        <w:pStyle w:val="Heading1"/>
      </w:pPr>
      <w:bookmarkStart w:id="1" w:name="O_1289069"/>
      <w:bookmarkEnd w:id="1"/>
      <w:r w:rsidRPr="00F81C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20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23">
            <w:pPr>
              <w:pStyle w:val="BodyText"/>
              <w:rPr>
                <w:lang w:val="en-NZ"/>
              </w:rPr>
            </w:pPr>
            <w:r w:rsidRPr="00F81C23">
              <w:t>Release 2. Minor change. Typographic error in prerequisites corrected.</w:t>
            </w:r>
          </w:p>
        </w:tc>
      </w:tr>
      <w:tr w:rsidTr="008A20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23" w:rsidP="00F81C23">
            <w:pPr>
              <w:pStyle w:val="BodyText"/>
            </w:pPr>
            <w:r w:rsidRPr="00F81C23">
              <w:t>Release 1. This is the first release of this unit of competency in the UEE Electrotechnology Training Package</w:t>
            </w:r>
          </w:p>
        </w:tc>
      </w:tr>
    </w:tbl>
    <w:p w:rsidR="008A20B9" w:rsidP="00F81C23">
      <w:pPr>
        <w:pStyle w:val="NoPaddingFontSize1"/>
      </w:pPr>
    </w:p>
    <w:p w:rsidR="008A20B9" w:rsidP="00F81C23">
      <w:pPr>
        <w:pStyle w:val="NoPaddingFontSize1"/>
      </w:pPr>
    </w:p>
    <w:p w:rsidR="00000000" w:rsidRPr="00F81C23" w:rsidP="00F81C23">
      <w:pPr>
        <w:pStyle w:val="Heading1"/>
      </w:pPr>
      <w:bookmarkStart w:id="2" w:name="O_1289068"/>
      <w:bookmarkEnd w:id="2"/>
      <w:r w:rsidRPr="00F81C2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1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23">
            <w:pPr>
              <w:pStyle w:val="BodyText"/>
              <w:rPr>
                <w:lang w:val="en-NZ"/>
              </w:rPr>
            </w:pPr>
            <w:r w:rsidRPr="00F81C23">
              <w:t>Evidence required to demonstrate competence in this unit must be relevant to and satisfy all of the re</w:t>
            </w:r>
            <w:r w:rsidRPr="00F81C23">
              <w:t>quirements of the elements, performance criteria and range of conditions on at least one occasion and include:</w:t>
            </w:r>
          </w:p>
        </w:tc>
      </w:tr>
      <w:tr w:rsidTr="00F81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23" w:rsidP="00F81C23">
            <w:pPr>
              <w:pStyle w:val="ListBullet"/>
            </w:pPr>
            <w:r w:rsidRPr="00F81C23">
              <w:t>determining the extent and nature of the installation from job specifications</w:t>
            </w:r>
          </w:p>
          <w:p w:rsidR="00000000" w:rsidRPr="00F81C23" w:rsidP="00F81C23">
            <w:pPr>
              <w:pStyle w:val="ListBullet"/>
            </w:pPr>
            <w:r w:rsidRPr="00F81C23">
              <w:t>obtaining and understanding the safety and other regulatory requirements to which the electrical installation shall comply</w:t>
            </w:r>
          </w:p>
          <w:p w:rsidR="00000000" w:rsidRPr="00F81C23" w:rsidP="00F81C23">
            <w:pPr>
              <w:pStyle w:val="ListBullet"/>
            </w:pPr>
            <w:r w:rsidRPr="00F81C23">
              <w:t>determining power factor correction equipment using graphical or mathematical methods</w:t>
            </w:r>
          </w:p>
          <w:p w:rsidR="00000000" w:rsidRPr="00F81C23" w:rsidP="00F81C23">
            <w:pPr>
              <w:pStyle w:val="ListBullet"/>
            </w:pPr>
            <w:r w:rsidRPr="00F81C23">
              <w:t>selecting wiring system suitable for the enviro</w:t>
            </w:r>
            <w:r w:rsidRPr="00F81C23">
              <w:t>nment requirements</w:t>
            </w:r>
          </w:p>
          <w:p w:rsidR="00000000" w:rsidRPr="00F81C23" w:rsidP="00F81C23">
            <w:pPr>
              <w:pStyle w:val="ListBullet"/>
            </w:pPr>
            <w:r w:rsidRPr="00F81C23">
              <w:t>selecting cable conductor sizes in consideration to current-carrying capacity and voltage-drop/earth fault-loop limitation</w:t>
            </w:r>
          </w:p>
          <w:p w:rsidR="00000000" w:rsidRPr="00F81C23" w:rsidP="00F81C23">
            <w:pPr>
              <w:pStyle w:val="ListBullet"/>
            </w:pPr>
            <w:r w:rsidRPr="00F81C23">
              <w:t>ensuring coordination between circuit protective device and conductor current-carrying capacity</w:t>
            </w:r>
          </w:p>
          <w:p w:rsidR="00000000" w:rsidRPr="00F81C23" w:rsidP="00F81C23">
            <w:pPr>
              <w:pStyle w:val="ListBullet"/>
            </w:pPr>
            <w:r w:rsidRPr="00F81C23">
              <w:t>selecting complian</w:t>
            </w:r>
            <w:r w:rsidRPr="00F81C23">
              <w:t>t earthing system components</w:t>
            </w:r>
          </w:p>
          <w:p w:rsidR="00000000" w:rsidRPr="00F81C23" w:rsidP="00F81C23">
            <w:pPr>
              <w:pStyle w:val="ListBullet"/>
            </w:pPr>
            <w:r w:rsidRPr="00F81C23">
              <w:t>documenting equipment and systems requirements to be used, specification for items selected and reasons for the selections made</w:t>
            </w:r>
          </w:p>
          <w:p w:rsidR="00000000" w:rsidRPr="00F81C23" w:rsidP="00F81C23">
            <w:pPr>
              <w:pStyle w:val="ListBullet"/>
            </w:pPr>
            <w:r w:rsidRPr="00F81C23">
              <w:t>dealing with unplanned events</w:t>
            </w:r>
          </w:p>
          <w:p w:rsidR="00000000" w:rsidRPr="00F81C23" w:rsidP="00F81C23">
            <w:pPr>
              <w:pStyle w:val="ListBullet"/>
            </w:pPr>
            <w:r w:rsidRPr="00F81C23">
              <w:t>applying relevant industry standards</w:t>
            </w:r>
          </w:p>
          <w:p w:rsidR="00000000" w:rsidRPr="00F81C23" w:rsidP="00F81C23">
            <w:pPr>
              <w:pStyle w:val="ListBullet"/>
            </w:pPr>
            <w:r w:rsidRPr="00F81C23">
              <w:t>applying relevant work health an</w:t>
            </w:r>
            <w:r w:rsidRPr="00F81C23">
              <w:t>d safety (WHS)/occupational health and safety (OHS) requirements, including using risk control measures</w:t>
            </w:r>
          </w:p>
          <w:p w:rsidR="00000000" w:rsidRPr="00F81C23" w:rsidP="00F81C23">
            <w:pPr>
              <w:pStyle w:val="ListBullet"/>
            </w:pPr>
            <w:r w:rsidRPr="00F81C23">
              <w:t>documenting power factor correction equipment installation details</w:t>
            </w:r>
          </w:p>
          <w:p w:rsidR="00000000" w:rsidRPr="00F81C23" w:rsidP="00F81C23">
            <w:pPr>
              <w:pStyle w:val="ListBullet"/>
            </w:pPr>
            <w:r w:rsidRPr="00F81C23">
              <w:t>following workplace procedures</w:t>
            </w:r>
          </w:p>
          <w:p w:rsidR="00000000" w:rsidRPr="00F81C23" w:rsidP="00F81C23">
            <w:pPr>
              <w:pStyle w:val="ListBullet"/>
            </w:pPr>
            <w:r w:rsidRPr="00F81C23">
              <w:t>performing relevant industry calculations</w:t>
            </w:r>
          </w:p>
          <w:p w:rsidR="00000000" w:rsidRPr="00F81C23" w:rsidP="00F81C23">
            <w:pPr>
              <w:pStyle w:val="ListBullet"/>
            </w:pPr>
            <w:r w:rsidRPr="00F81C23">
              <w:t>selecting po</w:t>
            </w:r>
            <w:r w:rsidRPr="00F81C23">
              <w:t>wer factor correction equipment, including:</w:t>
            </w:r>
          </w:p>
          <w:p w:rsidR="00000000" w:rsidRPr="00F81C23" w:rsidP="00F81C23">
            <w:pPr>
              <w:pStyle w:val="ListBullet2"/>
            </w:pPr>
            <w:r w:rsidRPr="00F81C23">
              <w:t>obtaining and applying safety and relevant industry standards</w:t>
            </w:r>
          </w:p>
          <w:p w:rsidR="00000000" w:rsidRPr="00F81C23" w:rsidP="00F81C23">
            <w:pPr>
              <w:pStyle w:val="ListBullet2"/>
            </w:pPr>
            <w:r w:rsidRPr="00F81C23">
              <w:t>selecting power factor correction equipment.</w:t>
            </w:r>
          </w:p>
        </w:tc>
      </w:tr>
    </w:tbl>
    <w:p w:rsidR="00000000" w:rsidRPr="00F81C23" w:rsidP="00F81C23">
      <w:pPr>
        <w:pStyle w:val="NoPaddingFontSize1"/>
      </w:pPr>
    </w:p>
    <w:p w:rsidR="00000000" w:rsidRPr="00F81C23" w:rsidP="00F81C23">
      <w:pPr>
        <w:pStyle w:val="AllowPageBreak"/>
      </w:pPr>
    </w:p>
    <w:p w:rsidR="00000000" w:rsidRPr="00F81C23" w:rsidP="00F81C23">
      <w:pPr>
        <w:pStyle w:val="Heading1"/>
      </w:pPr>
      <w:bookmarkStart w:id="3" w:name="O_1289067"/>
      <w:bookmarkEnd w:id="3"/>
      <w:r w:rsidRPr="00F81C2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1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23">
            <w:pPr>
              <w:pStyle w:val="BodyText"/>
              <w:rPr>
                <w:lang w:val="en-NZ"/>
              </w:rPr>
            </w:pPr>
            <w:r w:rsidRPr="00F81C23">
              <w:t xml:space="preserve">Evidence required to demonstrate competence in this unit must be relevant to and satisfy all of the requirements of the elements, performance criteria and range of conditions and include </w:t>
            </w:r>
            <w:r w:rsidRPr="00F81C23">
              <w:t>knowledge of:</w:t>
            </w:r>
          </w:p>
        </w:tc>
      </w:tr>
      <w:tr w:rsidTr="00F81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23" w:rsidP="00F81C23">
            <w:pPr>
              <w:pStyle w:val="ListBullet"/>
            </w:pPr>
            <w:r w:rsidRPr="00F81C23">
              <w:t>power factor correction — equipment selection, includ</w:t>
            </w:r>
            <w:r w:rsidRPr="00F81C23">
              <w:t>ing:</w:t>
            </w:r>
          </w:p>
          <w:p w:rsidR="00000000" w:rsidRPr="00F81C23" w:rsidP="00F81C23">
            <w:pPr>
              <w:pStyle w:val="ListBullet2"/>
            </w:pPr>
            <w:r w:rsidRPr="00F81C23">
              <w:t>definitions, concept of power factor and reasons for improving power factor</w:t>
            </w:r>
          </w:p>
          <w:p w:rsidR="00000000" w:rsidRPr="00F81C23" w:rsidP="00F81C23">
            <w:pPr>
              <w:pStyle w:val="ListBullet2"/>
            </w:pPr>
            <w:r w:rsidRPr="00F81C23">
              <w:t>situations leading to reduction of power factor</w:t>
            </w:r>
          </w:p>
          <w:p w:rsidR="00000000" w:rsidRPr="00F81C23" w:rsidP="00F81C23">
            <w:pPr>
              <w:pStyle w:val="ListBullet2"/>
            </w:pPr>
            <w:r w:rsidRPr="00F81C23">
              <w:t>consequences of poor power factor encompassing:</w:t>
            </w:r>
          </w:p>
          <w:p w:rsidR="00000000" w:rsidRPr="00F81C23" w:rsidP="00F81C23">
            <w:pPr>
              <w:pStyle w:val="ListBullet3"/>
            </w:pPr>
            <w:r w:rsidRPr="00F81C23">
              <w:t>demand tariff costs</w:t>
            </w:r>
          </w:p>
          <w:p w:rsidR="00000000" w:rsidRPr="00F81C23" w:rsidP="00F81C23">
            <w:pPr>
              <w:pStyle w:val="ListBullet3"/>
            </w:pPr>
            <w:r w:rsidRPr="00F81C23">
              <w:t>non-compliance with national service provider (NSP) and system energy loss</w:t>
            </w:r>
          </w:p>
          <w:p w:rsidR="00000000" w:rsidRPr="00F81C23" w:rsidP="00F81C23">
            <w:pPr>
              <w:pStyle w:val="ListBullet2"/>
            </w:pPr>
            <w:r w:rsidRPr="00F81C23">
              <w:t>design considerations encompassing:</w:t>
            </w:r>
          </w:p>
          <w:p w:rsidR="00000000" w:rsidRPr="00F81C23" w:rsidP="00F81C23">
            <w:pPr>
              <w:pStyle w:val="ListBullet3"/>
            </w:pPr>
            <w:r w:rsidRPr="00F81C23">
              <w:t xml:space="preserve">special conditions existing and the suitability for power factor correction (PFC) such as </w:t>
            </w:r>
            <w:r w:rsidRPr="00F81C23">
              <w:t>existence of distortion due to electronic loads, uninterruptable power supply (UPS) systems, and power generation facilities or complex electronic loads</w:t>
            </w:r>
          </w:p>
          <w:p w:rsidR="00000000" w:rsidRPr="00F81C23" w:rsidP="00F81C23">
            <w:pPr>
              <w:pStyle w:val="ListBullet3"/>
            </w:pPr>
            <w:r w:rsidRPr="00F81C23">
              <w:t xml:space="preserve">load profile and the nature of the load in all operating modes and with all possible sources of supply </w:t>
            </w:r>
            <w:r w:rsidRPr="00F81C23">
              <w:t>using three phase power recorders</w:t>
            </w:r>
          </w:p>
          <w:p w:rsidR="00000000" w:rsidRPr="00F81C23" w:rsidP="00F81C23">
            <w:pPr>
              <w:pStyle w:val="ListBullet3"/>
            </w:pPr>
            <w:r w:rsidRPr="00F81C23">
              <w:t>power supply quality issues in terms of voltage and frequency stability</w:t>
            </w:r>
          </w:p>
          <w:p w:rsidR="00000000" w:rsidRPr="00F81C23" w:rsidP="00F81C23">
            <w:pPr>
              <w:pStyle w:val="ListBullet3"/>
            </w:pPr>
            <w:r w:rsidRPr="00F81C23">
              <w:t>calculation of corrective VARs</w:t>
            </w:r>
          </w:p>
          <w:p w:rsidR="00000000" w:rsidRPr="00F81C23" w:rsidP="00F81C23">
            <w:pPr>
              <w:pStyle w:val="ListBullet3"/>
            </w:pPr>
            <w:r w:rsidRPr="00F81C23">
              <w:t>circuit protection issues and safety</w:t>
            </w:r>
          </w:p>
          <w:p w:rsidR="00000000" w:rsidRPr="00F81C23" w:rsidP="00F81C23">
            <w:pPr>
              <w:pStyle w:val="ListBullet3"/>
            </w:pPr>
            <w:r w:rsidRPr="00F81C23">
              <w:t>nominal location and arrangement</w:t>
            </w:r>
          </w:p>
          <w:p w:rsidR="00000000" w:rsidRPr="00F81C23" w:rsidP="00F81C23">
            <w:pPr>
              <w:pStyle w:val="ListBullet3"/>
            </w:pPr>
            <w:r w:rsidRPr="00F81C23">
              <w:t>types of capacitors to be used</w:t>
            </w:r>
          </w:p>
          <w:p w:rsidR="00000000" w:rsidRPr="00F81C23" w:rsidP="00F81C23">
            <w:pPr>
              <w:pStyle w:val="ListBullet3"/>
            </w:pPr>
            <w:r w:rsidRPr="00F81C23">
              <w:t>use of synchronous</w:t>
            </w:r>
            <w:r w:rsidRPr="00F81C23">
              <w:t xml:space="preserve"> motor for large installations</w:t>
            </w:r>
          </w:p>
          <w:p w:rsidR="00000000" w:rsidRPr="00F81C23" w:rsidP="00F81C23">
            <w:pPr>
              <w:pStyle w:val="ListBullet3"/>
            </w:pPr>
            <w:r w:rsidRPr="00F81C23">
              <w:t>possibility of resonance</w:t>
            </w:r>
          </w:p>
          <w:p w:rsidR="00000000" w:rsidRPr="00F81C23" w:rsidP="00F81C23">
            <w:pPr>
              <w:pStyle w:val="ListBullet3"/>
            </w:pPr>
            <w:r w:rsidRPr="00F81C23">
              <w:t>discharge measures</w:t>
            </w:r>
          </w:p>
          <w:p w:rsidR="00000000" w:rsidRPr="00F81C23" w:rsidP="00F81C23">
            <w:pPr>
              <w:pStyle w:val="ListBullet3"/>
            </w:pPr>
            <w:r w:rsidRPr="00F81C23">
              <w:t>types of PFC controls</w:t>
            </w:r>
          </w:p>
          <w:p w:rsidR="00000000" w:rsidRPr="00F81C23" w:rsidP="00F81C23">
            <w:pPr>
              <w:pStyle w:val="ListBullet3"/>
            </w:pPr>
            <w:r w:rsidRPr="00F81C23">
              <w:t>low voltage (LV) PFC, high voltage (HV) PFC and solid-state switched</w:t>
            </w:r>
          </w:p>
          <w:p w:rsidR="00000000" w:rsidRPr="00F81C23" w:rsidP="00F81C23">
            <w:pPr>
              <w:pStyle w:val="ListBullet2"/>
            </w:pPr>
            <w:r w:rsidRPr="00F81C23">
              <w:t>compliance with Australian Standards (AS) encompassing:</w:t>
            </w:r>
          </w:p>
          <w:p w:rsidR="00000000" w:rsidRPr="00F81C23" w:rsidP="00F81C23">
            <w:pPr>
              <w:pStyle w:val="ListBullet3"/>
            </w:pPr>
            <w:r w:rsidRPr="00F81C23">
              <w:t>AS 1013-1971 Shunt capacitors for connection to power frequency systems</w:t>
            </w:r>
          </w:p>
          <w:p w:rsidR="00000000" w:rsidRPr="00F81C23" w:rsidP="00F81C23">
            <w:pPr>
              <w:pStyle w:val="ListBullet3"/>
            </w:pPr>
            <w:r w:rsidRPr="00F81C23">
              <w:t>AS/NZS 3000 Electrical installations (known as the Australian/New Zealand Wiring Rules)</w:t>
            </w:r>
          </w:p>
          <w:p w:rsidR="00000000" w:rsidRPr="00F81C23" w:rsidP="00F81C23">
            <w:pPr>
              <w:pStyle w:val="ListBullet3"/>
            </w:pPr>
            <w:r w:rsidRPr="00F81C23">
              <w:t>AS/NZS 3947 Low voltage switchgear and control gear</w:t>
            </w:r>
          </w:p>
          <w:p w:rsidR="00000000" w:rsidRPr="00F81C23" w:rsidP="00F81C23">
            <w:pPr>
              <w:pStyle w:val="ListBullet2"/>
            </w:pPr>
            <w:r w:rsidRPr="00F81C23">
              <w:t>testing and commissioning of power factor e</w:t>
            </w:r>
            <w:r w:rsidRPr="00F81C23">
              <w:t>quipment, including controls</w:t>
            </w:r>
          </w:p>
          <w:p w:rsidR="00000000" w:rsidRPr="00F81C23" w:rsidP="00F81C23">
            <w:pPr>
              <w:pStyle w:val="ListBullet"/>
            </w:pPr>
            <w:r w:rsidRPr="00F81C23">
              <w:t>relevant industry calculations</w:t>
            </w:r>
          </w:p>
          <w:p w:rsidR="00000000" w:rsidRPr="00F81C23" w:rsidP="00F81C23">
            <w:pPr>
              <w:pStyle w:val="ListBullet"/>
            </w:pPr>
            <w:r w:rsidRPr="00F81C23">
              <w:t>relevant industry standards</w:t>
            </w:r>
          </w:p>
          <w:p w:rsidR="00000000" w:rsidRPr="00F81C23" w:rsidP="00F81C23">
            <w:pPr>
              <w:pStyle w:val="ListBullet"/>
            </w:pPr>
            <w:r w:rsidRPr="00F81C23">
              <w:t>relevant job safety assessments or risk mitigation processes</w:t>
            </w:r>
          </w:p>
          <w:p w:rsidR="00000000" w:rsidRPr="00F81C23" w:rsidP="00F81C23">
            <w:pPr>
              <w:pStyle w:val="ListBullet"/>
            </w:pPr>
            <w:r w:rsidRPr="00F81C23">
              <w:t>relevant manufacturer specifications and operating instructions</w:t>
            </w:r>
          </w:p>
          <w:p w:rsidR="00000000" w:rsidRPr="00F81C23" w:rsidP="00F81C23">
            <w:pPr>
              <w:pStyle w:val="ListBullet"/>
            </w:pPr>
            <w:r w:rsidRPr="00F81C23">
              <w:t>relevant WHS/OHS legislated requirements</w:t>
            </w:r>
          </w:p>
          <w:p w:rsidR="00000000" w:rsidRPr="00F81C23" w:rsidP="00F81C23">
            <w:pPr>
              <w:pStyle w:val="ListBullet"/>
            </w:pPr>
            <w:r w:rsidRPr="00F81C23">
              <w:t>relevant workplace documentation</w:t>
            </w:r>
          </w:p>
          <w:p w:rsidR="00000000" w:rsidRPr="00F81C23" w:rsidP="00F81C23">
            <w:pPr>
              <w:pStyle w:val="ListBullet"/>
            </w:pPr>
            <w:r w:rsidRPr="00F81C23">
              <w:t>relevant workplace policies and procedures.</w:t>
            </w:r>
          </w:p>
        </w:tc>
      </w:tr>
    </w:tbl>
    <w:p w:rsidR="00000000" w:rsidRPr="00F81C23" w:rsidP="00F81C23">
      <w:pPr>
        <w:pStyle w:val="NoPaddingFontSize1"/>
      </w:pPr>
    </w:p>
    <w:p w:rsidR="00000000" w:rsidRPr="00F81C23" w:rsidP="00F81C23">
      <w:pPr>
        <w:pStyle w:val="AllowPageBreak"/>
      </w:pPr>
    </w:p>
    <w:p w:rsidR="00000000" w:rsidRPr="00F81C23" w:rsidP="00F81C23">
      <w:pPr>
        <w:pStyle w:val="Heading1"/>
      </w:pPr>
      <w:bookmarkStart w:id="4" w:name="O_1289066"/>
      <w:bookmarkEnd w:id="4"/>
      <w:r w:rsidRPr="00F81C2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1C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23" w:rsidP="00F81C23">
            <w:pPr>
              <w:pStyle w:val="BodyText"/>
            </w:pPr>
            <w:r w:rsidRPr="00F81C23">
              <w:t xml:space="preserve">Assessors must hold credentials specified within the Standards for Registered Training </w:t>
            </w:r>
            <w:r w:rsidRPr="00F81C23">
              <w:t>Organisations current at the time of assessment.</w:t>
            </w:r>
          </w:p>
          <w:p w:rsidR="00000000" w:rsidRPr="00F81C23" w:rsidP="00F81C23">
            <w:pPr>
              <w:pStyle w:val="BodyText"/>
            </w:pPr>
            <w:r w:rsidRPr="00F81C2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81C23" w:rsidP="00F81C23">
            <w:pPr>
              <w:pStyle w:val="BodyText"/>
            </w:pPr>
            <w:r w:rsidRPr="00F81C23">
              <w:t>Assessment must occur in suitable workplace op</w:t>
            </w:r>
            <w:r w:rsidRPr="00F81C23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F81C23" w:rsidP="00F81C23">
            <w:pPr>
              <w:pStyle w:val="BodyText"/>
            </w:pPr>
            <w:r w:rsidRPr="00F81C23">
              <w:t xml:space="preserve">Assessment processes and techniques must be appropriate </w:t>
            </w:r>
            <w:r w:rsidRPr="00F81C23">
              <w:t>to the language, literacy and numeracy requirements of the work being performed and the needs of the candidate.</w:t>
            </w:r>
          </w:p>
          <w:p w:rsidR="00000000" w:rsidRPr="00F81C23" w:rsidP="00F81C23">
            <w:pPr>
              <w:pStyle w:val="BodyText"/>
            </w:pPr>
            <w:r w:rsidRPr="00F81C23">
              <w:t>Resources for assessment must include access to:</w:t>
            </w:r>
          </w:p>
          <w:p w:rsidR="00000000" w:rsidRPr="00F81C23" w:rsidP="00F81C23">
            <w:pPr>
              <w:pStyle w:val="ListBullet"/>
            </w:pPr>
            <w:r w:rsidRPr="00F81C23">
              <w:t>a range of relevant exercises, case studies and/or simulations</w:t>
            </w:r>
          </w:p>
          <w:p w:rsidR="00000000" w:rsidRPr="00F81C23" w:rsidP="00F81C23">
            <w:pPr>
              <w:pStyle w:val="ListBullet"/>
            </w:pPr>
            <w:r w:rsidRPr="00F81C23">
              <w:t>relevant and appropriate materials, tools, facilities, equipment and personal protective equipment (PPE) currently used in industry</w:t>
            </w:r>
          </w:p>
          <w:p w:rsidR="00000000" w:rsidRPr="00F81C23" w:rsidP="00F81C23">
            <w:pPr>
              <w:pStyle w:val="ListBullet"/>
            </w:pPr>
            <w:r w:rsidRPr="00F81C23">
              <w:t>applicable documentation, including workplace procedures, equipment specifications, regulations, relevant industry standards</w:t>
            </w:r>
            <w:r w:rsidRPr="00F81C23">
              <w:t>, codes of practice and operation manuals.</w:t>
            </w:r>
          </w:p>
        </w:tc>
      </w:tr>
    </w:tbl>
    <w:p w:rsidR="00000000" w:rsidRPr="00F81C23" w:rsidP="00F81C23">
      <w:pPr>
        <w:pStyle w:val="NoPaddingFontSize1"/>
      </w:pPr>
    </w:p>
    <w:p w:rsidR="00000000" w:rsidRPr="00F81C23" w:rsidP="00F81C23">
      <w:pPr>
        <w:pStyle w:val="AllowPageBreak"/>
      </w:pPr>
    </w:p>
    <w:p w:rsidR="00000000" w:rsidRPr="00F81C23" w:rsidP="00F81C23">
      <w:pPr>
        <w:pStyle w:val="Heading1"/>
      </w:pPr>
      <w:bookmarkStart w:id="5" w:name="O_1289081"/>
      <w:bookmarkEnd w:id="5"/>
      <w:r w:rsidRPr="00F81C23">
        <w:t>Links</w:t>
      </w:r>
    </w:p>
    <w:p w:rsidR="00000000" w:rsidRPr="00F81C23" w:rsidP="008A20B9">
      <w:pPr>
        <w:pStyle w:val="BodyText"/>
      </w:pPr>
      <w:r w:rsidRPr="00F81C2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D3AB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81C23" w:rsidP="00F81C23"/>
    <w:sectPr w:rsidSect="00F81C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23" w:rsidRPr="008A20B9" w:rsidP="008A20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B9" w:rsidP="00F81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0B9" w:rsidP="00F81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A20B9" w:rsidP="00F81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C23" w:rsidRPr="008A20B9" w:rsidP="008A20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B9" w:rsidRPr="002D2AF8" w:rsidP="00F81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UEEEL0071 Select low voltage power factor correction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8A20B9" w:rsidP="00F81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48A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940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000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C23"/>
  </w:style>
  <w:style w:type="character" w:customStyle="1" w:styleId="Heading1Char">
    <w:name w:val="Heading 1 Char"/>
    <w:basedOn w:val="DefaultParagraphFont"/>
    <w:link w:val="Heading1"/>
    <w:rsid w:val="00F81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C2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1C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1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1C2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1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1C23"/>
    <w:rPr>
      <w:b/>
      <w:spacing w:val="0"/>
    </w:rPr>
  </w:style>
  <w:style w:type="paragraph" w:customStyle="1" w:styleId="SuperTitle">
    <w:name w:val="SuperTitle"/>
    <w:basedOn w:val="Title"/>
    <w:rsid w:val="00F81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1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1C23"/>
    <w:rPr>
      <w:i/>
    </w:rPr>
  </w:style>
  <w:style w:type="paragraph" w:styleId="Caption">
    <w:name w:val="caption"/>
    <w:basedOn w:val="BodyText"/>
    <w:next w:val="Normal"/>
    <w:qFormat/>
    <w:rsid w:val="00F81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C23"/>
  </w:style>
  <w:style w:type="paragraph" w:styleId="TableofFigures">
    <w:name w:val="table of figures"/>
    <w:basedOn w:val="Normal"/>
    <w:next w:val="Normal"/>
    <w:semiHidden/>
    <w:rsid w:val="00F81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C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1C23"/>
    <w:rPr>
      <w:rFonts w:ascii="Wingdings" w:hAnsi="Wingdings"/>
    </w:rPr>
  </w:style>
  <w:style w:type="paragraph" w:customStyle="1" w:styleId="TableHeading">
    <w:name w:val="Table Heading"/>
    <w:basedOn w:val="HeadingBase"/>
    <w:rsid w:val="00F81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C23"/>
    <w:rPr>
      <w:color w:val="0033CC"/>
      <w:u w:val="none"/>
    </w:rPr>
  </w:style>
  <w:style w:type="paragraph" w:customStyle="1" w:styleId="BodyTextRight">
    <w:name w:val="Body Text Right"/>
    <w:basedOn w:val="BodyText"/>
    <w:rsid w:val="00F81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C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C23"/>
    <w:rPr>
      <w:sz w:val="32"/>
    </w:rPr>
  </w:style>
  <w:style w:type="paragraph" w:customStyle="1" w:styleId="HeadingProcedure">
    <w:name w:val="Heading Procedure"/>
    <w:basedOn w:val="HeadingBase"/>
    <w:next w:val="Normal"/>
    <w:rsid w:val="00F81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C23"/>
    <w:pPr>
      <w:spacing w:before="60" w:after="60"/>
    </w:pPr>
  </w:style>
  <w:style w:type="paragraph" w:styleId="ListContinue">
    <w:name w:val="List Continue"/>
    <w:basedOn w:val="List"/>
    <w:rsid w:val="00F81C23"/>
    <w:pPr>
      <w:ind w:firstLine="0"/>
    </w:pPr>
  </w:style>
  <w:style w:type="paragraph" w:customStyle="1" w:styleId="ListNote">
    <w:name w:val="List Note"/>
    <w:basedOn w:val="List"/>
    <w:rsid w:val="00F81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C23"/>
    <w:rPr>
      <w:rFonts w:ascii="Courier New" w:hAnsi="Courier New"/>
    </w:rPr>
  </w:style>
  <w:style w:type="paragraph" w:customStyle="1" w:styleId="NoteBullet">
    <w:name w:val="Note Bullet"/>
    <w:basedOn w:val="Note"/>
    <w:rsid w:val="00F81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C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1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C23"/>
    <w:rPr>
      <w:b/>
      <w:smallCaps/>
    </w:rPr>
  </w:style>
  <w:style w:type="paragraph" w:customStyle="1" w:styleId="TableListNumber">
    <w:name w:val="Table List Number"/>
    <w:basedOn w:val="ListNumber"/>
    <w:rsid w:val="00F81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C23"/>
    <w:pPr>
      <w:numPr>
        <w:numId w:val="10"/>
      </w:numPr>
    </w:pPr>
  </w:style>
  <w:style w:type="paragraph" w:customStyle="1" w:styleId="ListAlpha2">
    <w:name w:val="List Alpha 2"/>
    <w:basedOn w:val="List2"/>
    <w:rsid w:val="00F81C23"/>
    <w:pPr>
      <w:numPr>
        <w:numId w:val="9"/>
      </w:numPr>
    </w:pPr>
  </w:style>
  <w:style w:type="paragraph" w:styleId="List2">
    <w:name w:val="List 2"/>
    <w:basedOn w:val="BodyText"/>
    <w:rsid w:val="00F81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C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1C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1C23"/>
    <w:pPr>
      <w:numPr>
        <w:numId w:val="5"/>
      </w:numPr>
    </w:pPr>
  </w:style>
  <w:style w:type="paragraph" w:styleId="ListContinue2">
    <w:name w:val="List Continue 2"/>
    <w:basedOn w:val="List2"/>
    <w:rsid w:val="00F81C23"/>
    <w:pPr>
      <w:ind w:firstLine="0"/>
    </w:pPr>
  </w:style>
  <w:style w:type="paragraph" w:styleId="ListContinue3">
    <w:name w:val="List Continue 3"/>
    <w:basedOn w:val="List3"/>
    <w:rsid w:val="00F81C23"/>
    <w:pPr>
      <w:ind w:left="1021" w:firstLine="0"/>
    </w:pPr>
  </w:style>
  <w:style w:type="paragraph" w:styleId="ListContinue4">
    <w:name w:val="List Continue 4"/>
    <w:basedOn w:val="List4"/>
    <w:rsid w:val="00F81C23"/>
    <w:pPr>
      <w:ind w:firstLine="0"/>
    </w:pPr>
  </w:style>
  <w:style w:type="paragraph" w:styleId="ListContinue5">
    <w:name w:val="List Continue 5"/>
    <w:basedOn w:val="List5"/>
    <w:rsid w:val="00F81C23"/>
    <w:pPr>
      <w:ind w:firstLine="0"/>
    </w:pPr>
  </w:style>
  <w:style w:type="paragraph" w:styleId="ListNumber3">
    <w:name w:val="List Number 3"/>
    <w:basedOn w:val="List3"/>
    <w:rsid w:val="00F81C23"/>
    <w:pPr>
      <w:numPr>
        <w:numId w:val="6"/>
      </w:numPr>
    </w:pPr>
  </w:style>
  <w:style w:type="paragraph" w:styleId="ListNumber4">
    <w:name w:val="List Number 4"/>
    <w:basedOn w:val="List4"/>
    <w:rsid w:val="00F81C23"/>
    <w:pPr>
      <w:numPr>
        <w:numId w:val="7"/>
      </w:numPr>
    </w:pPr>
  </w:style>
  <w:style w:type="paragraph" w:styleId="ListNumber5">
    <w:name w:val="List Number 5"/>
    <w:basedOn w:val="List5"/>
    <w:rsid w:val="00F81C23"/>
    <w:pPr>
      <w:numPr>
        <w:numId w:val="8"/>
      </w:numPr>
    </w:pPr>
  </w:style>
  <w:style w:type="paragraph" w:styleId="BlockText">
    <w:name w:val="Block Text"/>
    <w:basedOn w:val="Normal"/>
    <w:rsid w:val="00F81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C23"/>
    <w:rPr>
      <w:sz w:val="16"/>
      <w:vertAlign w:val="superscript"/>
    </w:rPr>
  </w:style>
  <w:style w:type="character" w:customStyle="1" w:styleId="Symbols">
    <w:name w:val="Symbols"/>
    <w:basedOn w:val="DefaultParagraphFont"/>
    <w:rsid w:val="00F81C23"/>
    <w:rPr>
      <w:rFonts w:ascii="Symbol" w:hAnsi="Symbol"/>
    </w:rPr>
  </w:style>
  <w:style w:type="character" w:customStyle="1" w:styleId="MenuOptions">
    <w:name w:val="Menu Options"/>
    <w:basedOn w:val="DefaultParagraphFont"/>
    <w:rsid w:val="00F81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C23"/>
    <w:rPr>
      <w:b/>
    </w:rPr>
  </w:style>
  <w:style w:type="character" w:customStyle="1" w:styleId="Underlined">
    <w:name w:val="Underlined"/>
    <w:basedOn w:val="DefaultParagraphFont"/>
    <w:rsid w:val="00F81C23"/>
    <w:rPr>
      <w:u w:val="single"/>
    </w:rPr>
  </w:style>
  <w:style w:type="paragraph" w:customStyle="1" w:styleId="TableBodyTextRight">
    <w:name w:val="Table Body Text Right"/>
    <w:basedOn w:val="TableBodyText"/>
    <w:rsid w:val="00F81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C23"/>
    <w:rPr>
      <w:sz w:val="18"/>
    </w:rPr>
  </w:style>
  <w:style w:type="paragraph" w:customStyle="1" w:styleId="BodySmallRight">
    <w:name w:val="Body Small Right"/>
    <w:basedOn w:val="BodyTextRight"/>
    <w:rsid w:val="00F81C23"/>
    <w:rPr>
      <w:sz w:val="18"/>
      <w:szCs w:val="18"/>
    </w:rPr>
  </w:style>
  <w:style w:type="paragraph" w:customStyle="1" w:styleId="MarginEdition">
    <w:name w:val="Margin Edition"/>
    <w:basedOn w:val="MarginNote"/>
    <w:rsid w:val="00F81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C23"/>
    <w:rPr>
      <w:sz w:val="2"/>
      <w:szCs w:val="2"/>
    </w:rPr>
  </w:style>
  <w:style w:type="character" w:customStyle="1" w:styleId="Small">
    <w:name w:val="Small"/>
    <w:basedOn w:val="DefaultParagraphFont"/>
    <w:rsid w:val="00F81C23"/>
    <w:rPr>
      <w:sz w:val="16"/>
    </w:rPr>
  </w:style>
  <w:style w:type="paragraph" w:customStyle="1" w:styleId="WideTable">
    <w:name w:val="Wide Table"/>
    <w:basedOn w:val="Normal"/>
    <w:rsid w:val="00F81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C23"/>
  </w:style>
  <w:style w:type="paragraph" w:styleId="Quote">
    <w:name w:val="Quote"/>
    <w:basedOn w:val="Heading1"/>
    <w:link w:val="QuoteChar"/>
    <w:qFormat/>
    <w:rsid w:val="00F81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C23"/>
    <w:pPr>
      <w:pageBreakBefore/>
    </w:pPr>
  </w:style>
  <w:style w:type="paragraph" w:customStyle="1" w:styleId="Border">
    <w:name w:val="Border"/>
    <w:basedOn w:val="Normal"/>
    <w:qFormat/>
    <w:rsid w:val="00F81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C23"/>
    <w:rPr>
      <w:u w:val="single"/>
    </w:rPr>
  </w:style>
  <w:style w:type="character" w:customStyle="1" w:styleId="BoldandItalics">
    <w:name w:val="Bold and Italics"/>
    <w:qFormat/>
    <w:rsid w:val="00F81C23"/>
    <w:rPr>
      <w:b/>
      <w:i/>
      <w:u w:val="none"/>
    </w:rPr>
  </w:style>
  <w:style w:type="paragraph" w:styleId="BalloonText">
    <w:name w:val="Balloon Text"/>
    <w:basedOn w:val="Normal"/>
    <w:link w:val="BalloonTextChar"/>
    <w:rsid w:val="00F81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C23"/>
    <w:pPr>
      <w:spacing w:before="0" w:after="0"/>
    </w:pPr>
  </w:style>
  <w:style w:type="paragraph" w:customStyle="1" w:styleId="BodyTextBold">
    <w:name w:val="Body Text Bold"/>
    <w:basedOn w:val="BodyText"/>
    <w:qFormat/>
    <w:rsid w:val="00F81C23"/>
    <w:rPr>
      <w:b/>
    </w:rPr>
  </w:style>
  <w:style w:type="character" w:styleId="Hyperlink">
    <w:name w:val="Hyperlink"/>
    <w:basedOn w:val="DefaultParagraphFont"/>
    <w:uiPriority w:val="99"/>
    <w:unhideWhenUsed/>
    <w:rsid w:val="008A20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4713</Characters>
  <Application>Microsoft Office Word</Application>
  <DocSecurity>0</DocSecurity>
  <Lines>107</Lines>
  <Paragraphs>80</Paragraphs>
  <ScaleCrop>false</ScaleCrop>
  <Company>Author-it Software Corporation Ltd.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UEEEL0071 Select low voltage power factor correction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