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4F5" w:rsidP="00D424F5">
      <w:pPr>
        <w:pStyle w:val="Title"/>
      </w:pPr>
      <w:r>
        <w:fldChar w:fldCharType="begin"/>
      </w:r>
      <w:r>
        <w:instrText xml:space="preserve"> TITLE   \* MERGEFORMAT </w:instrText>
      </w:r>
      <w:r>
        <w:fldChar w:fldCharType="separate"/>
      </w:r>
      <w:r>
        <w:t>Assessment Requirements for UEEEL0063 Provide photometric data for illumination system design</w:t>
      </w:r>
      <w:r>
        <w:fldChar w:fldCharType="end"/>
      </w:r>
    </w:p>
    <w:p w:rsidR="00D424F5" w:rsidP="00D424F5">
      <w:pPr>
        <w:pStyle w:val="Version"/>
        <w:sectPr w:rsidSect="00767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D90" w:rsidP="00767D90">
      <w:pPr>
        <w:pStyle w:val="SuperHeading"/>
      </w:pPr>
      <w:r w:rsidRPr="00767D90">
        <w:t>Assessment Requirements for UEEEL0063 Provide photometric data for illumination system design</w:t>
      </w:r>
    </w:p>
    <w:p w:rsidR="00000000" w:rsidRPr="00767D90" w:rsidP="00767D90">
      <w:pPr>
        <w:pStyle w:val="Heading1"/>
      </w:pPr>
      <w:bookmarkStart w:id="1" w:name="O_1104435"/>
      <w:bookmarkEnd w:id="1"/>
      <w:r w:rsidRPr="00767D90">
        <w:t>Modification History</w:t>
      </w:r>
    </w:p>
    <w:tbl>
      <w:tblPr>
        <w:tblW w:w="9497" w:type="dxa"/>
        <w:tblLayout w:type="fixed"/>
        <w:tblCellMar>
          <w:left w:w="62" w:type="dxa"/>
          <w:right w:w="62" w:type="dxa"/>
        </w:tblCellMar>
        <w:tblLook w:val="0000"/>
      </w:tblPr>
      <w:tblGrid>
        <w:gridCol w:w="9497"/>
      </w:tblGrid>
      <w:tr w:rsidTr="00767D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D90" w:rsidP="00767D90">
            <w:pPr>
              <w:pStyle w:val="BodyText"/>
            </w:pPr>
            <w:r w:rsidRPr="00767D90">
              <w:t>Release 1. This is the first release of this unit of competency in the UEE Electrotechnology Training Package.</w:t>
            </w:r>
          </w:p>
        </w:tc>
      </w:tr>
    </w:tbl>
    <w:p w:rsidR="00000000" w:rsidRPr="00767D90" w:rsidP="00767D90">
      <w:pPr>
        <w:pStyle w:val="NoPaddingFontSize1"/>
      </w:pPr>
    </w:p>
    <w:p w:rsidR="00000000" w:rsidRPr="00767D90" w:rsidP="00767D90">
      <w:pPr>
        <w:pStyle w:val="AllowPageBreak"/>
      </w:pPr>
    </w:p>
    <w:p w:rsidR="00000000" w:rsidRPr="00767D90" w:rsidP="00767D90">
      <w:pPr>
        <w:pStyle w:val="Heading1"/>
      </w:pPr>
      <w:bookmarkStart w:id="2" w:name="O_1104436"/>
      <w:bookmarkEnd w:id="2"/>
      <w:r w:rsidRPr="00767D90">
        <w:t>Performance Evidence</w:t>
      </w:r>
    </w:p>
    <w:tbl>
      <w:tblPr>
        <w:tblW w:w="9497" w:type="dxa"/>
        <w:tblLayout w:type="fixed"/>
        <w:tblCellMar>
          <w:left w:w="62" w:type="dxa"/>
          <w:right w:w="62" w:type="dxa"/>
        </w:tblCellMar>
        <w:tblLook w:val="0000"/>
      </w:tblPr>
      <w:tblGrid>
        <w:gridCol w:w="9497"/>
      </w:tblGrid>
      <w:tr w:rsidTr="00767D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7D90">
            <w:pPr>
              <w:pStyle w:val="BodyText"/>
              <w:rPr>
                <w:lang w:val="en-NZ"/>
              </w:rPr>
            </w:pPr>
            <w:r w:rsidRPr="00767D90">
              <w:t>Evidence required to demonstrate competence in this unit must be relevant to and satisfy all of the requirements of the elements, performance criteria and range of conditions on at least three occasions and include:</w:t>
            </w:r>
          </w:p>
        </w:tc>
      </w:tr>
      <w:tr w:rsidTr="00767D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D90" w:rsidP="00767D90">
            <w:pPr>
              <w:pStyle w:val="ListBullet"/>
            </w:pPr>
            <w:r w:rsidRPr="00767D90">
              <w:t>obtaining illumination parameters from a design brief, job specification or by consultation with the client</w:t>
            </w:r>
          </w:p>
          <w:p w:rsidR="00000000" w:rsidRPr="00767D90" w:rsidP="00767D90">
            <w:pPr>
              <w:pStyle w:val="ListBullet"/>
            </w:pPr>
            <w:r w:rsidRPr="00767D90">
              <w:t>understanding compliance and recommended illumination parameters for particular situations and tasks</w:t>
            </w:r>
          </w:p>
          <w:p w:rsidR="00000000" w:rsidRPr="00767D90" w:rsidP="00767D90">
            <w:pPr>
              <w:pStyle w:val="ListBullet"/>
            </w:pPr>
            <w:r w:rsidRPr="00767D90">
              <w:t>understanding manufacturers’ technical informa</w:t>
            </w:r>
            <w:r w:rsidRPr="00767D90">
              <w:t>tion</w:t>
            </w:r>
          </w:p>
          <w:p w:rsidR="00000000" w:rsidRPr="00767D90" w:rsidP="00767D90">
            <w:pPr>
              <w:pStyle w:val="ListBullet"/>
            </w:pPr>
            <w:r w:rsidRPr="00767D90">
              <w:t>documenting photometric data, including justification for conclusions</w:t>
            </w:r>
          </w:p>
          <w:p w:rsidR="00000000" w:rsidRPr="00767D90" w:rsidP="00767D90">
            <w:pPr>
              <w:pStyle w:val="ListBullet"/>
            </w:pPr>
            <w:r w:rsidRPr="00767D90">
              <w:t>dealing with unplanned events</w:t>
            </w:r>
          </w:p>
          <w:p w:rsidR="00000000" w:rsidRPr="00767D90" w:rsidP="00767D90">
            <w:pPr>
              <w:pStyle w:val="ListBullet"/>
            </w:pPr>
            <w:r w:rsidRPr="00767D90">
              <w:t>applying industry standards</w:t>
            </w:r>
          </w:p>
          <w:p w:rsidR="00000000" w:rsidRPr="00767D90" w:rsidP="00767D90">
            <w:pPr>
              <w:pStyle w:val="ListBullet"/>
            </w:pPr>
            <w:r w:rsidRPr="00767D90">
              <w:t>applying relevant work health and safety (WHS)/occupational health and safety (OHS) requirements, including using risk control measures</w:t>
            </w:r>
          </w:p>
          <w:p w:rsidR="00000000" w:rsidRPr="00767D90" w:rsidP="00767D90">
            <w:pPr>
              <w:pStyle w:val="ListBullet"/>
            </w:pPr>
            <w:r w:rsidRPr="00767D90">
              <w:t>following workplace procedures</w:t>
            </w:r>
          </w:p>
          <w:p w:rsidR="00000000" w:rsidRPr="00767D90" w:rsidP="00767D90">
            <w:pPr>
              <w:pStyle w:val="ListBullet"/>
            </w:pPr>
            <w:r w:rsidRPr="00767D90">
              <w:t>providing photometric data, including:</w:t>
            </w:r>
          </w:p>
          <w:p w:rsidR="00000000" w:rsidRPr="00767D90" w:rsidP="00767D90">
            <w:pPr>
              <w:pStyle w:val="ListBullet2"/>
            </w:pPr>
            <w:r w:rsidRPr="00767D90">
              <w:t>applying manufacturer specifications</w:t>
            </w:r>
          </w:p>
          <w:p w:rsidR="00000000" w:rsidRPr="00767D90" w:rsidP="00767D90">
            <w:pPr>
              <w:pStyle w:val="ListBullet2"/>
            </w:pPr>
            <w:r w:rsidRPr="00767D90">
              <w:t xml:space="preserve">calculating </w:t>
            </w:r>
            <w:r w:rsidRPr="00767D90">
              <w:t>photometric data.</w:t>
            </w:r>
          </w:p>
        </w:tc>
      </w:tr>
    </w:tbl>
    <w:p w:rsidR="00000000" w:rsidRPr="00767D90" w:rsidP="00767D90">
      <w:pPr>
        <w:pStyle w:val="NoPaddingFontSize1"/>
      </w:pPr>
    </w:p>
    <w:p w:rsidR="00000000" w:rsidRPr="00767D90" w:rsidP="00767D90">
      <w:pPr>
        <w:pStyle w:val="AllowPageBreak"/>
      </w:pPr>
    </w:p>
    <w:p w:rsidR="00000000" w:rsidRPr="00767D90" w:rsidP="00767D90">
      <w:pPr>
        <w:pStyle w:val="Heading1"/>
      </w:pPr>
      <w:bookmarkStart w:id="3" w:name="O_1104437"/>
      <w:bookmarkEnd w:id="3"/>
      <w:r w:rsidRPr="00767D90">
        <w:t>Knowledge Evidence</w:t>
      </w:r>
    </w:p>
    <w:tbl>
      <w:tblPr>
        <w:tblW w:w="9497" w:type="dxa"/>
        <w:tblLayout w:type="fixed"/>
        <w:tblCellMar>
          <w:left w:w="62" w:type="dxa"/>
          <w:right w:w="62" w:type="dxa"/>
        </w:tblCellMar>
        <w:tblLook w:val="0000"/>
      </w:tblPr>
      <w:tblGrid>
        <w:gridCol w:w="9497"/>
      </w:tblGrid>
      <w:tr w:rsidTr="00767D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7D90">
            <w:pPr>
              <w:pStyle w:val="BodyText"/>
              <w:rPr>
                <w:lang w:val="en-NZ"/>
              </w:rPr>
            </w:pPr>
            <w:r w:rsidRPr="00767D90">
              <w:t xml:space="preserve">Evidence required to demonstrate competence in this unit must be relevant to and satisfy all of the requirements of the elements, performance criteria </w:t>
            </w:r>
            <w:r w:rsidRPr="00767D90">
              <w:t>and range of conditions and include knowledge of:</w:t>
            </w:r>
          </w:p>
        </w:tc>
      </w:tr>
      <w:tr w:rsidTr="00767D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D90" w:rsidP="00767D90">
            <w:pPr>
              <w:pStyle w:val="ListBullet"/>
            </w:pPr>
            <w:r w:rsidRPr="00767D90">
              <w:t>photometric principles, vision and colour, including:</w:t>
            </w:r>
          </w:p>
          <w:p w:rsidR="00000000" w:rsidRPr="00767D90" w:rsidP="00767D90">
            <w:pPr>
              <w:pStyle w:val="ListBullet2"/>
            </w:pPr>
            <w:r w:rsidRPr="00767D90">
              <w:t>nature of light encompassing:</w:t>
            </w:r>
          </w:p>
          <w:p w:rsidR="00000000" w:rsidRPr="00767D90" w:rsidP="00767D90">
            <w:pPr>
              <w:pStyle w:val="ListBullet3"/>
            </w:pPr>
            <w:r w:rsidRPr="00767D90">
              <w:t>dual nature of light electromagnetic spectrum</w:t>
            </w:r>
          </w:p>
          <w:p w:rsidR="00000000" w:rsidRPr="00767D90" w:rsidP="00767D90">
            <w:pPr>
              <w:pStyle w:val="ListBullet3"/>
            </w:pPr>
            <w:r w:rsidRPr="00767D90">
              <w:t>frequency and wavelength (nm)</w:t>
            </w:r>
          </w:p>
          <w:p w:rsidR="00000000" w:rsidRPr="00767D90" w:rsidP="00767D90">
            <w:pPr>
              <w:pStyle w:val="ListBullet2"/>
            </w:pPr>
            <w:r w:rsidRPr="00767D90">
              <w:t>photometric principles and definitions encompassing:</w:t>
            </w:r>
          </w:p>
          <w:p w:rsidR="00000000" w:rsidRPr="00767D90" w:rsidP="00767D90">
            <w:pPr>
              <w:pStyle w:val="ListBullet3"/>
            </w:pPr>
            <w:r w:rsidRPr="00767D90">
              <w:t>scope and definitions from AS/NZS 1680.1 Interior and workplace lighting - General principles and recommendations, and AS ISO 1000 – 1998 The international system of units (SI) and its application</w:t>
            </w:r>
          </w:p>
          <w:p w:rsidR="00000000" w:rsidRPr="00767D90" w:rsidP="00767D90">
            <w:pPr>
              <w:pStyle w:val="ListBullet3"/>
            </w:pPr>
            <w:r w:rsidRPr="00767D90">
              <w:t>lumin</w:t>
            </w:r>
            <w:r w:rsidRPr="00767D90">
              <w:t>ous flux, definition and unit of measurement</w:t>
            </w:r>
          </w:p>
          <w:p w:rsidR="00000000" w:rsidRPr="00767D90" w:rsidP="00767D90">
            <w:pPr>
              <w:pStyle w:val="ListBullet3"/>
            </w:pPr>
            <w:r w:rsidRPr="00767D90">
              <w:t>luminous intensity, definition and International System of Units (SI) unit of measurement</w:t>
            </w:r>
          </w:p>
          <w:p w:rsidR="00000000" w:rsidRPr="00767D90" w:rsidP="00767D90">
            <w:pPr>
              <w:pStyle w:val="ListBullet3"/>
            </w:pPr>
            <w:r w:rsidRPr="00767D90">
              <w:t>radians and steradians</w:t>
            </w:r>
          </w:p>
          <w:p w:rsidR="00000000" w:rsidRPr="00767D90" w:rsidP="00767D90">
            <w:pPr>
              <w:pStyle w:val="ListBullet3"/>
            </w:pPr>
            <w:r w:rsidRPr="00767D90">
              <w:t>illuminance and luminance</w:t>
            </w:r>
          </w:p>
          <w:p w:rsidR="00000000" w:rsidRPr="00767D90" w:rsidP="00767D90">
            <w:pPr>
              <w:pStyle w:val="ListBullet3"/>
            </w:pPr>
            <w:r w:rsidRPr="00767D90">
              <w:t>basic optics, reflection and refraction</w:t>
            </w:r>
          </w:p>
          <w:p w:rsidR="00000000" w:rsidRPr="00767D90" w:rsidP="00767D90">
            <w:pPr>
              <w:pStyle w:val="ListBullet3"/>
            </w:pPr>
            <w:r w:rsidRPr="00767D90">
              <w:t>reflectance and transmittance</w:t>
            </w:r>
          </w:p>
          <w:p w:rsidR="00000000" w:rsidRPr="00767D90" w:rsidP="00767D90">
            <w:pPr>
              <w:pStyle w:val="ListBullet3"/>
            </w:pPr>
            <w:r w:rsidRPr="00767D90">
              <w:t>di</w:t>
            </w:r>
            <w:r w:rsidRPr="00767D90">
              <w:t>ffuse surfaces</w:t>
            </w:r>
          </w:p>
          <w:p w:rsidR="00000000" w:rsidRPr="00767D90" w:rsidP="00767D90">
            <w:pPr>
              <w:pStyle w:val="ListBullet3"/>
            </w:pPr>
            <w:r w:rsidRPr="00767D90">
              <w:t>the point source and the inverse square law</w:t>
            </w:r>
          </w:p>
          <w:p w:rsidR="00000000" w:rsidRPr="00767D90" w:rsidP="00767D90">
            <w:pPr>
              <w:pStyle w:val="ListBullet3"/>
            </w:pPr>
            <w:r w:rsidRPr="00767D90">
              <w:t>cosine law</w:t>
            </w:r>
          </w:p>
          <w:p w:rsidR="00000000" w:rsidRPr="00767D90" w:rsidP="00767D90">
            <w:pPr>
              <w:pStyle w:val="ListBullet3"/>
            </w:pPr>
            <w:r w:rsidRPr="00767D90">
              <w:t>relationship between watts and lumens</w:t>
            </w:r>
          </w:p>
          <w:p w:rsidR="00000000" w:rsidRPr="00767D90" w:rsidP="00767D90">
            <w:pPr>
              <w:pStyle w:val="ListBullet3"/>
            </w:pPr>
            <w:r w:rsidRPr="00767D90">
              <w:t>older imperial measurements (such as the footcandle or lumen per square foot and candlepower)</w:t>
            </w:r>
          </w:p>
          <w:p w:rsidR="00000000" w:rsidRPr="00767D90" w:rsidP="00767D90">
            <w:pPr>
              <w:pStyle w:val="ListBullet2"/>
            </w:pPr>
            <w:r w:rsidRPr="00767D90">
              <w:t>physiology of the eye and light detection encompassing:</w:t>
            </w:r>
          </w:p>
          <w:p w:rsidR="00000000" w:rsidRPr="00767D90" w:rsidP="00767D90">
            <w:pPr>
              <w:pStyle w:val="ListBullet3"/>
            </w:pPr>
            <w:r w:rsidRPr="00767D90">
              <w:t>scotopic, mesopic and photopic vision</w:t>
            </w:r>
          </w:p>
          <w:p w:rsidR="00000000" w:rsidRPr="00767D90" w:rsidP="00767D90">
            <w:pPr>
              <w:pStyle w:val="ListBullet3"/>
            </w:pPr>
            <w:r w:rsidRPr="00767D90">
              <w:t>contrast sensitivity</w:t>
            </w:r>
          </w:p>
          <w:p w:rsidR="00000000" w:rsidRPr="00767D90" w:rsidP="00767D90">
            <w:pPr>
              <w:pStyle w:val="ListBullet3"/>
            </w:pPr>
            <w:r w:rsidRPr="00767D90">
              <w:t>colour vision – rods and cones</w:t>
            </w:r>
          </w:p>
          <w:p w:rsidR="00000000" w:rsidRPr="00767D90" w:rsidP="00767D90">
            <w:pPr>
              <w:pStyle w:val="ListBullet3"/>
            </w:pPr>
            <w:r w:rsidRPr="00767D90">
              <w:t>light levels and recognition of colour</w:t>
            </w:r>
          </w:p>
          <w:p w:rsidR="00000000" w:rsidRPr="00767D90" w:rsidP="00767D90">
            <w:pPr>
              <w:pStyle w:val="ListBullet3"/>
            </w:pPr>
            <w:r w:rsidRPr="00767D90">
              <w:t>adaptation</w:t>
            </w:r>
          </w:p>
          <w:p w:rsidR="00000000" w:rsidRPr="00767D90" w:rsidP="00767D90">
            <w:pPr>
              <w:pStyle w:val="ListBullet3"/>
            </w:pPr>
            <w:r w:rsidRPr="00767D90">
              <w:t>accommodation and visual acuity</w:t>
            </w:r>
          </w:p>
          <w:p w:rsidR="00000000" w:rsidRPr="00767D90" w:rsidP="00767D90">
            <w:pPr>
              <w:pStyle w:val="ListBullet3"/>
            </w:pPr>
            <w:r w:rsidRPr="00767D90">
              <w:t>brightness and lightness</w:t>
            </w:r>
          </w:p>
          <w:p w:rsidR="00000000" w:rsidRPr="00767D90" w:rsidP="00767D90">
            <w:pPr>
              <w:pStyle w:val="ListBullet3"/>
            </w:pPr>
            <w:r w:rsidRPr="00767D90">
              <w:t>im</w:t>
            </w:r>
            <w:r w:rsidRPr="00767D90">
              <w:t>age detection</w:t>
            </w:r>
          </w:p>
          <w:p w:rsidR="00000000" w:rsidRPr="00767D90" w:rsidP="00767D90">
            <w:pPr>
              <w:pStyle w:val="ListBullet3"/>
            </w:pPr>
            <w:r w:rsidRPr="00767D90">
              <w:t>glare and comfort</w:t>
            </w:r>
          </w:p>
          <w:p w:rsidR="00000000" w:rsidRPr="00767D90" w:rsidP="00767D90">
            <w:pPr>
              <w:pStyle w:val="ListBullet3"/>
            </w:pPr>
            <w:r w:rsidRPr="00767D90">
              <w:t>cognition and visual perception</w:t>
            </w:r>
          </w:p>
          <w:p w:rsidR="00000000" w:rsidRPr="00767D90" w:rsidP="00767D90">
            <w:pPr>
              <w:pStyle w:val="ListBullet2"/>
            </w:pPr>
            <w:r w:rsidRPr="00767D90">
              <w:t>colour encompassing:</w:t>
            </w:r>
          </w:p>
          <w:p w:rsidR="00000000" w:rsidRPr="00767D90" w:rsidP="00767D90">
            <w:pPr>
              <w:pStyle w:val="ListBullet3"/>
            </w:pPr>
            <w:r w:rsidRPr="00767D90">
              <w:t>Munsell and CIE colour system</w:t>
            </w:r>
          </w:p>
          <w:p w:rsidR="00000000" w:rsidRPr="00767D90" w:rsidP="00767D90">
            <w:pPr>
              <w:pStyle w:val="ListBullet3"/>
            </w:pPr>
            <w:r w:rsidRPr="00767D90">
              <w:t>chromaticity coordinates</w:t>
            </w:r>
          </w:p>
          <w:p w:rsidR="00000000" w:rsidRPr="00767D90" w:rsidP="00767D90">
            <w:pPr>
              <w:pStyle w:val="ListBullet3"/>
            </w:pPr>
            <w:r w:rsidRPr="00767D90">
              <w:t>black body radiation and colour temperature</w:t>
            </w:r>
          </w:p>
          <w:p w:rsidR="00000000" w:rsidRPr="00767D90" w:rsidP="00767D90">
            <w:pPr>
              <w:pStyle w:val="ListBullet3"/>
            </w:pPr>
            <w:r w:rsidRPr="00767D90">
              <w:t>uniform chromaticity scale diagrams</w:t>
            </w:r>
          </w:p>
          <w:p w:rsidR="00000000" w:rsidRPr="00767D90" w:rsidP="00767D90">
            <w:pPr>
              <w:pStyle w:val="ListBullet3"/>
            </w:pPr>
            <w:r w:rsidRPr="00767D90">
              <w:t>factors determining colour appearance</w:t>
            </w:r>
          </w:p>
          <w:p w:rsidR="00000000" w:rsidRPr="00767D90" w:rsidP="00767D90">
            <w:pPr>
              <w:pStyle w:val="ListBullet2"/>
            </w:pPr>
            <w:r w:rsidRPr="00767D90">
              <w:t>photometry encompassing:</w:t>
            </w:r>
          </w:p>
          <w:p w:rsidR="00000000" w:rsidRPr="00767D90" w:rsidP="00767D90">
            <w:pPr>
              <w:pStyle w:val="ListBullet3"/>
            </w:pPr>
            <w:r w:rsidRPr="00767D90">
              <w:t>the integrating sphere</w:t>
            </w:r>
          </w:p>
          <w:p w:rsidR="00000000" w:rsidRPr="00767D90" w:rsidP="00767D90">
            <w:pPr>
              <w:pStyle w:val="ListBullet3"/>
            </w:pPr>
            <w:r w:rsidRPr="00767D90">
              <w:t>distribution photometry</w:t>
            </w:r>
          </w:p>
          <w:p w:rsidR="00000000" w:rsidRPr="00767D90" w:rsidP="00767D90">
            <w:pPr>
              <w:pStyle w:val="ListBullet3"/>
            </w:pPr>
            <w:r w:rsidRPr="00767D90">
              <w:t>selected requirements of AS/NZS 1680.3 Interior and workplace lighting - Measurement, calculation and presentation of photometric data</w:t>
            </w:r>
          </w:p>
          <w:p w:rsidR="00000000" w:rsidRPr="00767D90" w:rsidP="00767D90">
            <w:pPr>
              <w:pStyle w:val="ListBullet3"/>
            </w:pPr>
            <w:r w:rsidRPr="00767D90">
              <w:t>the gonio</w:t>
            </w:r>
            <w:r w:rsidRPr="00767D90">
              <w:t>photometer</w:t>
            </w:r>
          </w:p>
          <w:p w:rsidR="00000000" w:rsidRPr="00767D90" w:rsidP="00767D90">
            <w:pPr>
              <w:pStyle w:val="ListBullet3"/>
            </w:pPr>
            <w:r w:rsidRPr="00767D90">
              <w:t>measurement of luminous flux</w:t>
            </w:r>
          </w:p>
          <w:p w:rsidR="00000000" w:rsidRPr="00767D90" w:rsidP="00767D90">
            <w:pPr>
              <w:pStyle w:val="ListBullet3"/>
            </w:pPr>
            <w:r w:rsidRPr="00767D90">
              <w:t>measurement of luminance and cut-off angle</w:t>
            </w:r>
          </w:p>
          <w:p w:rsidR="00000000" w:rsidRPr="00767D90" w:rsidP="00767D90">
            <w:pPr>
              <w:pStyle w:val="ListBullet3"/>
            </w:pPr>
            <w:r w:rsidRPr="00767D90">
              <w:t>measurement of illuminance (single luminaire)</w:t>
            </w:r>
          </w:p>
          <w:p w:rsidR="00000000" w:rsidRPr="00767D90" w:rsidP="00767D90">
            <w:pPr>
              <w:pStyle w:val="ListBullet3"/>
            </w:pPr>
            <w:r w:rsidRPr="00767D90">
              <w:t>graphical representation of photometric data</w:t>
            </w:r>
          </w:p>
          <w:p w:rsidR="00000000" w:rsidRPr="00767D90" w:rsidP="00767D90">
            <w:pPr>
              <w:pStyle w:val="ListBullet3"/>
            </w:pPr>
            <w:r w:rsidRPr="00767D90">
              <w:t>test reports and data presentation</w:t>
            </w:r>
          </w:p>
          <w:p w:rsidR="00000000" w:rsidRPr="00767D90" w:rsidP="00767D90">
            <w:pPr>
              <w:pStyle w:val="ListBullet3"/>
            </w:pPr>
            <w:r w:rsidRPr="00767D90">
              <w:t>lux meters and measuring equipment</w:t>
            </w:r>
          </w:p>
          <w:p w:rsidR="00000000" w:rsidRPr="00767D90" w:rsidP="00767D90">
            <w:pPr>
              <w:pStyle w:val="ListBullet3"/>
            </w:pPr>
            <w:r w:rsidRPr="00767D90">
              <w:t>required light levels for various situations in accordance with Australian/New Zealand Standards</w:t>
            </w:r>
          </w:p>
          <w:p w:rsidR="00000000" w:rsidRPr="00767D90" w:rsidP="00767D90">
            <w:pPr>
              <w:pStyle w:val="ListBullet"/>
            </w:pPr>
            <w:r w:rsidRPr="00767D90">
              <w:t>relevant industry standards</w:t>
            </w:r>
          </w:p>
          <w:p w:rsidR="00000000" w:rsidRPr="00767D90" w:rsidP="00767D90">
            <w:pPr>
              <w:pStyle w:val="ListBullet"/>
            </w:pPr>
            <w:r w:rsidRPr="00767D90">
              <w:t>relevant job safety assessments or risk mitigation processes</w:t>
            </w:r>
          </w:p>
          <w:p w:rsidR="00000000" w:rsidRPr="00767D90" w:rsidP="00767D90">
            <w:pPr>
              <w:pStyle w:val="ListBullet"/>
            </w:pPr>
            <w:r w:rsidRPr="00767D90">
              <w:t>relevant manufacturer specifications and operating instructions</w:t>
            </w:r>
          </w:p>
          <w:p w:rsidR="00000000" w:rsidRPr="00767D90" w:rsidP="00767D90">
            <w:pPr>
              <w:pStyle w:val="ListBullet"/>
            </w:pPr>
            <w:r w:rsidRPr="00767D90">
              <w:t>relev</w:t>
            </w:r>
            <w:r w:rsidRPr="00767D90">
              <w:t>ant WHS/OHS legislated requirements</w:t>
            </w:r>
          </w:p>
          <w:p w:rsidR="00000000" w:rsidRPr="00767D90" w:rsidP="00767D90">
            <w:pPr>
              <w:pStyle w:val="ListBullet"/>
            </w:pPr>
            <w:r w:rsidRPr="00767D90">
              <w:t>relevant workplace documentation</w:t>
            </w:r>
          </w:p>
          <w:p w:rsidR="00000000" w:rsidRPr="00767D90" w:rsidP="00767D90">
            <w:pPr>
              <w:pStyle w:val="ListBullet"/>
            </w:pPr>
            <w:r w:rsidRPr="00767D90">
              <w:t>relevant workplace policies and procedures.</w:t>
            </w:r>
          </w:p>
        </w:tc>
      </w:tr>
    </w:tbl>
    <w:p w:rsidR="00000000" w:rsidRPr="00767D90" w:rsidP="00767D90">
      <w:pPr>
        <w:pStyle w:val="NoPaddingFontSize1"/>
      </w:pPr>
    </w:p>
    <w:p w:rsidR="00000000" w:rsidRPr="00767D90" w:rsidP="00767D90">
      <w:pPr>
        <w:pStyle w:val="AllowPageBreak"/>
      </w:pPr>
    </w:p>
    <w:p w:rsidR="00000000" w:rsidRPr="00767D90" w:rsidP="00767D90">
      <w:pPr>
        <w:pStyle w:val="Heading1"/>
      </w:pPr>
      <w:bookmarkStart w:id="4" w:name="O_1104438"/>
      <w:bookmarkEnd w:id="4"/>
      <w:r w:rsidRPr="00767D90">
        <w:t>Assessment Conditions</w:t>
      </w:r>
    </w:p>
    <w:tbl>
      <w:tblPr>
        <w:tblW w:w="9497" w:type="dxa"/>
        <w:tblLayout w:type="fixed"/>
        <w:tblCellMar>
          <w:left w:w="62" w:type="dxa"/>
          <w:right w:w="62" w:type="dxa"/>
        </w:tblCellMar>
        <w:tblLook w:val="0000"/>
      </w:tblPr>
      <w:tblGrid>
        <w:gridCol w:w="9497"/>
      </w:tblGrid>
      <w:tr w:rsidTr="00767D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D90" w:rsidP="00767D90">
            <w:pPr>
              <w:pStyle w:val="BodyText"/>
            </w:pPr>
            <w:r w:rsidRPr="00767D90">
              <w:t>Assessors must hold credentials specified within the Standards for Registered Training Organisations current at the time of assessment.</w:t>
            </w:r>
          </w:p>
          <w:p w:rsidR="00000000" w:rsidRPr="00767D90" w:rsidP="00767D90">
            <w:pPr>
              <w:pStyle w:val="BodyText"/>
            </w:pPr>
            <w:r w:rsidRPr="00767D90">
              <w:t>Assessment must satisfy the Principles of Assessment and Rules of Evidence and all regulatory requirements included with</w:t>
            </w:r>
            <w:r w:rsidRPr="00767D90">
              <w:t>in the Standards for Registered Training Organisations current at the time of assessment.</w:t>
            </w:r>
          </w:p>
          <w:p w:rsidR="00000000" w:rsidRPr="00767D90" w:rsidP="00767D90">
            <w:pPr>
              <w:pStyle w:val="BodyText"/>
            </w:pPr>
            <w:r w:rsidRPr="00767D90">
              <w:t>Assessment must occur in suitable workplace operational situations where it is appropriate to do so; where this is not appropriate, assessment must occur in simulated</w:t>
            </w:r>
            <w:r w:rsidRPr="00767D90">
              <w:t xml:space="preserve"> suitable workplace operational situations that replicate workplace conditions.</w:t>
            </w:r>
          </w:p>
          <w:p w:rsidR="00000000" w:rsidRPr="00767D90" w:rsidP="00767D90">
            <w:pPr>
              <w:pStyle w:val="BodyText"/>
            </w:pPr>
            <w:r w:rsidRPr="00767D90">
              <w:t>Assessment processes and techniques must be appropriate to the language, literacy and numeracy requirements of the work being performed and the needs of the candidate.</w:t>
            </w:r>
          </w:p>
          <w:p w:rsidR="00000000" w:rsidRPr="00767D90" w:rsidP="00767D90">
            <w:pPr>
              <w:pStyle w:val="BodyText"/>
            </w:pPr>
            <w:r w:rsidRPr="00767D90">
              <w:t>Resource</w:t>
            </w:r>
            <w:r w:rsidRPr="00767D90">
              <w:t>s for assessment must include access to:</w:t>
            </w:r>
          </w:p>
          <w:p w:rsidR="00000000" w:rsidRPr="00767D90" w:rsidP="00767D90">
            <w:pPr>
              <w:pStyle w:val="ListBullet"/>
            </w:pPr>
            <w:r w:rsidRPr="00767D90">
              <w:t>a range of relevant exercises, case studies and/or simulations</w:t>
            </w:r>
          </w:p>
          <w:p w:rsidR="00000000" w:rsidRPr="00767D90" w:rsidP="00767D90">
            <w:pPr>
              <w:pStyle w:val="ListBullet"/>
            </w:pPr>
            <w:r w:rsidRPr="00767D90">
              <w:t>relevant and appropriate materials, tools, facilities, equipment and personal protective equipment (PPE) currently used in industry</w:t>
            </w:r>
          </w:p>
          <w:p w:rsidR="00000000" w:rsidRPr="00767D90" w:rsidP="00767D90">
            <w:pPr>
              <w:pStyle w:val="ListBullet"/>
            </w:pPr>
            <w:r w:rsidRPr="00767D90">
              <w:t>applicable document</w:t>
            </w:r>
            <w:r w:rsidRPr="00767D90">
              <w:t>ation, including workplace procedures, equipment specifications, regulations, relevant industry standards, codes of practice and operation manuals.</w:t>
            </w:r>
          </w:p>
        </w:tc>
      </w:tr>
    </w:tbl>
    <w:p w:rsidR="00000000" w:rsidRPr="00767D90" w:rsidP="00767D90">
      <w:pPr>
        <w:pStyle w:val="NoPaddingFontSize1"/>
      </w:pPr>
    </w:p>
    <w:p w:rsidR="00000000" w:rsidRPr="00767D90" w:rsidP="00767D90">
      <w:pPr>
        <w:pStyle w:val="AllowPageBreak"/>
      </w:pPr>
    </w:p>
    <w:p w:rsidR="00000000" w:rsidRPr="00767D90" w:rsidP="00767D90">
      <w:pPr>
        <w:pStyle w:val="Heading1"/>
      </w:pPr>
      <w:bookmarkStart w:id="5" w:name="O_1104441"/>
      <w:bookmarkEnd w:id="5"/>
      <w:r w:rsidRPr="00767D90">
        <w:t>Links</w:t>
      </w:r>
    </w:p>
    <w:p w:rsidR="00000000" w:rsidRPr="00767D90" w:rsidP="00D424F5">
      <w:pPr>
        <w:pStyle w:val="BodyText"/>
      </w:pPr>
      <w:r w:rsidRPr="00767D9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55E7C">
        <w:rPr>
          <w:rStyle w:val="Hyperlink"/>
        </w:rPr>
        <w:t>https://vetnet.gov.au/Pages/TrainingDocs.aspx?q=b8a8f136-5421-4ce1-92e0-2b50341431b6</w:t>
      </w:r>
      <w:r>
        <w:fldChar w:fldCharType="end"/>
      </w:r>
    </w:p>
    <w:p w:rsidR="00000000" w:rsidRPr="00767D90" w:rsidP="00767D90"/>
    <w:sectPr w:rsidSect="00767D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90" w:rsidRPr="00D424F5" w:rsidP="00D424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F5" w:rsidP="00767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4F5" w:rsidP="00767D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424F5" w:rsidP="00767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D90" w:rsidRPr="00D424F5" w:rsidP="00D424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F5" w:rsidRPr="002D2AF8" w:rsidP="00767D90">
    <w:pPr>
      <w:pStyle w:val="Header"/>
      <w:framePr w:wrap="around"/>
    </w:pPr>
    <w:r>
      <w:fldChar w:fldCharType="begin"/>
    </w:r>
    <w:r>
      <w:instrText xml:space="preserve"> TITLE   \* MERGEFORMAT </w:instrText>
    </w:r>
    <w:r>
      <w:fldChar w:fldCharType="separate"/>
    </w:r>
    <w:r>
      <w:t>Assessment Requirements for UEEEL0063 Provide photometric data for illumination system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424F5" w:rsidP="00767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340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A0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F6A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D90"/>
    <w:pPr>
      <w:spacing w:before="360" w:after="60"/>
      <w:outlineLvl w:val="0"/>
    </w:pPr>
    <w:rPr>
      <w:sz w:val="32"/>
    </w:rPr>
  </w:style>
  <w:style w:type="paragraph" w:styleId="Heading2">
    <w:name w:val="heading 2"/>
    <w:basedOn w:val="HeadingBase"/>
    <w:next w:val="BodyText"/>
    <w:link w:val="Heading2Char"/>
    <w:qFormat/>
    <w:rsid w:val="00767D90"/>
    <w:pPr>
      <w:keepLines/>
      <w:spacing w:before="240" w:after="120"/>
      <w:outlineLvl w:val="1"/>
    </w:pPr>
    <w:rPr>
      <w:sz w:val="28"/>
      <w:szCs w:val="40"/>
    </w:rPr>
  </w:style>
  <w:style w:type="paragraph" w:styleId="Heading3">
    <w:name w:val="heading 3"/>
    <w:basedOn w:val="HeadingBase"/>
    <w:next w:val="BodyText"/>
    <w:link w:val="Heading3Char"/>
    <w:qFormat/>
    <w:rsid w:val="00767D90"/>
    <w:pPr>
      <w:spacing w:before="180" w:after="120"/>
      <w:outlineLvl w:val="2"/>
    </w:pPr>
    <w:rPr>
      <w:spacing w:val="-10"/>
      <w:kern w:val="32"/>
    </w:rPr>
  </w:style>
  <w:style w:type="paragraph" w:styleId="Heading4">
    <w:name w:val="heading 4"/>
    <w:basedOn w:val="HeadingBase"/>
    <w:next w:val="BodyText"/>
    <w:link w:val="Heading4Char"/>
    <w:qFormat/>
    <w:rsid w:val="00767D90"/>
    <w:pPr>
      <w:spacing w:before="160" w:after="120"/>
      <w:outlineLvl w:val="3"/>
    </w:pPr>
    <w:rPr>
      <w:sz w:val="22"/>
    </w:rPr>
  </w:style>
  <w:style w:type="paragraph" w:styleId="Heading5">
    <w:name w:val="heading 5"/>
    <w:basedOn w:val="HeadingBase"/>
    <w:next w:val="Normal"/>
    <w:link w:val="Heading5Char"/>
    <w:qFormat/>
    <w:rsid w:val="00767D90"/>
    <w:pPr>
      <w:spacing w:before="80"/>
      <w:outlineLvl w:val="4"/>
    </w:pPr>
    <w:rPr>
      <w:color w:val="918585"/>
      <w:sz w:val="20"/>
    </w:rPr>
  </w:style>
  <w:style w:type="paragraph" w:styleId="Heading6">
    <w:name w:val="heading 6"/>
    <w:basedOn w:val="HeadingBase"/>
    <w:next w:val="Normal"/>
    <w:link w:val="Heading6Char"/>
    <w:qFormat/>
    <w:rsid w:val="00767D90"/>
    <w:pPr>
      <w:spacing w:before="60"/>
      <w:outlineLvl w:val="5"/>
    </w:pPr>
    <w:rPr>
      <w:color w:val="918585"/>
      <w:sz w:val="20"/>
    </w:rPr>
  </w:style>
  <w:style w:type="paragraph" w:styleId="Heading7">
    <w:name w:val="heading 7"/>
    <w:basedOn w:val="Normal"/>
    <w:next w:val="Normal"/>
    <w:link w:val="Heading7Char"/>
    <w:qFormat/>
    <w:rsid w:val="00767D90"/>
    <w:pPr>
      <w:ind w:left="720"/>
      <w:outlineLvl w:val="6"/>
    </w:pPr>
    <w:rPr>
      <w:i/>
    </w:rPr>
  </w:style>
  <w:style w:type="paragraph" w:styleId="Heading8">
    <w:name w:val="heading 8"/>
    <w:basedOn w:val="Normal"/>
    <w:next w:val="Normal"/>
    <w:link w:val="Heading8Char"/>
    <w:qFormat/>
    <w:rsid w:val="00767D90"/>
    <w:pPr>
      <w:ind w:left="720"/>
      <w:outlineLvl w:val="7"/>
    </w:pPr>
    <w:rPr>
      <w:i/>
    </w:rPr>
  </w:style>
  <w:style w:type="paragraph" w:styleId="Heading9">
    <w:name w:val="heading 9"/>
    <w:basedOn w:val="Normal"/>
    <w:next w:val="Normal"/>
    <w:link w:val="Heading9Char"/>
    <w:qFormat/>
    <w:rsid w:val="00767D90"/>
    <w:pPr>
      <w:ind w:left="720"/>
      <w:outlineLvl w:val="8"/>
    </w:pPr>
    <w:rPr>
      <w:i/>
    </w:rPr>
  </w:style>
  <w:style w:type="character" w:default="1" w:styleId="DefaultParagraphFont">
    <w:name w:val="Default Paragraph Font"/>
    <w:uiPriority w:val="1"/>
    <w:unhideWhenUsed/>
    <w:rsid w:val="00767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D90"/>
  </w:style>
  <w:style w:type="character" w:customStyle="1" w:styleId="Heading1Char">
    <w:name w:val="Heading 1 Char"/>
    <w:basedOn w:val="DefaultParagraphFont"/>
    <w:link w:val="Heading1"/>
    <w:rsid w:val="00767D90"/>
    <w:rPr>
      <w:rFonts w:ascii="Times New Roman" w:eastAsia="Times New Roman" w:hAnsi="Times New Roman" w:cs="Times New Roman"/>
      <w:b/>
      <w:sz w:val="32"/>
      <w:szCs w:val="20"/>
      <w:lang w:eastAsia="en-US"/>
    </w:rPr>
  </w:style>
  <w:style w:type="paragraph" w:styleId="BodyText">
    <w:name w:val="Body Text"/>
    <w:basedOn w:val="Normal"/>
    <w:link w:val="BodyTextChar"/>
    <w:rsid w:val="00767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D90"/>
    <w:rPr>
      <w:rFonts w:ascii="Times New Roman" w:eastAsia="Times New Roman" w:hAnsi="Times New Roman" w:cs="Times New Roman"/>
      <w:sz w:val="24"/>
      <w:lang w:eastAsia="en-US"/>
    </w:rPr>
  </w:style>
  <w:style w:type="paragraph" w:styleId="ListBullet">
    <w:name w:val="List Bullet"/>
    <w:basedOn w:val="List"/>
    <w:rsid w:val="00767D90"/>
    <w:pPr>
      <w:numPr>
        <w:numId w:val="13"/>
      </w:numPr>
      <w:tabs>
        <w:tab w:val="clear" w:pos="340"/>
      </w:tabs>
      <w:spacing w:before="40" w:after="40"/>
    </w:pPr>
  </w:style>
  <w:style w:type="paragraph" w:styleId="ListBullet2">
    <w:name w:val="List Bullet 2"/>
    <w:basedOn w:val="List2"/>
    <w:rsid w:val="00767D90"/>
    <w:pPr>
      <w:numPr>
        <w:numId w:val="14"/>
      </w:numPr>
      <w:tabs>
        <w:tab w:val="clear" w:pos="680"/>
      </w:tabs>
    </w:pPr>
  </w:style>
  <w:style w:type="paragraph" w:customStyle="1" w:styleId="SuperHeading">
    <w:name w:val="SuperHeading"/>
    <w:basedOn w:val="Normal"/>
    <w:rsid w:val="00767D90"/>
    <w:pPr>
      <w:spacing w:before="240" w:after="120"/>
      <w:outlineLvl w:val="0"/>
    </w:pPr>
    <w:rPr>
      <w:rFonts w:ascii="Times New Roman" w:hAnsi="Times New Roman"/>
      <w:b/>
      <w:sz w:val="32"/>
    </w:rPr>
  </w:style>
  <w:style w:type="paragraph" w:customStyle="1" w:styleId="AllowPageBreak">
    <w:name w:val="AllowPageBreak"/>
    <w:rsid w:val="00767D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7D9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7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D90"/>
    <w:rPr>
      <w:rFonts w:ascii="Courier New" w:eastAsia="Times New Roman" w:hAnsi="Courier New" w:cs="Times New Roman"/>
      <w:i/>
      <w:szCs w:val="20"/>
      <w:lang w:eastAsia="en-US"/>
    </w:rPr>
  </w:style>
  <w:style w:type="paragraph" w:customStyle="1" w:styleId="HeadingBase">
    <w:name w:val="Heading Base"/>
    <w:rsid w:val="00767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D90"/>
    <w:pPr>
      <w:tabs>
        <w:tab w:val="right" w:leader="dot" w:pos="9072"/>
      </w:tabs>
      <w:ind w:left="567"/>
    </w:pPr>
    <w:rPr>
      <w:szCs w:val="22"/>
    </w:rPr>
  </w:style>
  <w:style w:type="paragraph" w:customStyle="1" w:styleId="TOCBase">
    <w:name w:val="TOC Base"/>
    <w:rsid w:val="00767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D90"/>
    <w:pPr>
      <w:tabs>
        <w:tab w:val="right" w:leader="dot" w:pos="9072"/>
      </w:tabs>
      <w:spacing w:before="40" w:after="40"/>
      <w:ind w:left="284"/>
    </w:pPr>
    <w:rPr>
      <w:rFonts w:ascii="Times New Roman" w:hAnsi="Times New Roman"/>
    </w:rPr>
  </w:style>
  <w:style w:type="paragraph" w:styleId="TOC1">
    <w:name w:val="toc 1"/>
    <w:basedOn w:val="TOCBase"/>
    <w:next w:val="Normal"/>
    <w:rsid w:val="00767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D90"/>
    <w:rPr>
      <w:rFonts w:ascii="Times New Roman" w:eastAsia="Times New Roman" w:hAnsi="Times New Roman" w:cs="Times New Roman"/>
      <w:sz w:val="16"/>
      <w:lang w:eastAsia="en-US"/>
    </w:rPr>
  </w:style>
  <w:style w:type="paragraph" w:styleId="Title">
    <w:name w:val="Title"/>
    <w:basedOn w:val="HeadingBase"/>
    <w:link w:val="TitleChar"/>
    <w:qFormat/>
    <w:rsid w:val="00767D90"/>
    <w:pPr>
      <w:spacing w:before="5040"/>
      <w:jc w:val="center"/>
    </w:pPr>
    <w:rPr>
      <w:sz w:val="48"/>
      <w:szCs w:val="72"/>
      <w:lang w:val="en-US"/>
    </w:rPr>
  </w:style>
  <w:style w:type="character" w:customStyle="1" w:styleId="TitleChar">
    <w:name w:val="Title Char"/>
    <w:basedOn w:val="DefaultParagraphFont"/>
    <w:link w:val="Title"/>
    <w:rsid w:val="00767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D90"/>
    <w:pPr>
      <w:tabs>
        <w:tab w:val="left" w:pos="3600"/>
        <w:tab w:val="left" w:pos="3958"/>
      </w:tabs>
    </w:pPr>
  </w:style>
  <w:style w:type="paragraph" w:styleId="List">
    <w:name w:val="List"/>
    <w:basedOn w:val="BodyText"/>
    <w:next w:val="BodyText"/>
    <w:rsid w:val="00767D90"/>
    <w:pPr>
      <w:tabs>
        <w:tab w:val="left" w:pos="340"/>
      </w:tabs>
      <w:spacing w:before="60" w:after="60"/>
      <w:ind w:left="340" w:hanging="340"/>
    </w:pPr>
  </w:style>
  <w:style w:type="paragraph" w:customStyle="1" w:styleId="Note">
    <w:name w:val="Note"/>
    <w:basedOn w:val="BodyText"/>
    <w:rsid w:val="00767D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7D90"/>
    <w:rPr>
      <w:b/>
      <w:spacing w:val="0"/>
    </w:rPr>
  </w:style>
  <w:style w:type="paragraph" w:customStyle="1" w:styleId="SuperTitle">
    <w:name w:val="SuperTitle"/>
    <w:basedOn w:val="Title"/>
    <w:rsid w:val="00767D90"/>
    <w:pPr>
      <w:framePr w:wrap="auto" w:hAnchor="text" w:y="6049"/>
    </w:pPr>
    <w:rPr>
      <w:color w:val="000000"/>
      <w:sz w:val="40"/>
    </w:rPr>
  </w:style>
  <w:style w:type="paragraph" w:customStyle="1" w:styleId="TOCTitle">
    <w:name w:val="TOCTitle"/>
    <w:basedOn w:val="Heading1"/>
    <w:rsid w:val="00767D90"/>
    <w:pPr>
      <w:spacing w:after="240"/>
      <w:jc w:val="center"/>
      <w:outlineLvl w:val="9"/>
    </w:pPr>
    <w:rPr>
      <w:caps/>
    </w:rPr>
  </w:style>
  <w:style w:type="paragraph" w:customStyle="1" w:styleId="Version">
    <w:name w:val="Version"/>
    <w:rsid w:val="00767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D90"/>
    <w:pPr>
      <w:keepNext w:val="0"/>
      <w:tabs>
        <w:tab w:val="right" w:pos="4176"/>
      </w:tabs>
      <w:ind w:left="198" w:hanging="198"/>
    </w:pPr>
    <w:rPr>
      <w:rFonts w:ascii="Garamond" w:hAnsi="Garamond"/>
    </w:rPr>
  </w:style>
  <w:style w:type="paragraph" w:styleId="IndexHeading">
    <w:name w:val="index heading"/>
    <w:basedOn w:val="Normal"/>
    <w:next w:val="Index1"/>
    <w:semiHidden/>
    <w:rsid w:val="00767D90"/>
    <w:pPr>
      <w:spacing w:before="120" w:after="120"/>
    </w:pPr>
    <w:rPr>
      <w:rFonts w:ascii="Arial" w:hAnsi="Arial"/>
      <w:b/>
      <w:color w:val="918585"/>
      <w:sz w:val="24"/>
    </w:rPr>
  </w:style>
  <w:style w:type="paragraph" w:styleId="Header">
    <w:name w:val="header"/>
    <w:basedOn w:val="Normal"/>
    <w:link w:val="HeaderChar"/>
    <w:rsid w:val="00767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D90"/>
    <w:rPr>
      <w:rFonts w:ascii="Times New Roman" w:eastAsia="Times New Roman" w:hAnsi="Times New Roman" w:cs="Times New Roman"/>
      <w:sz w:val="16"/>
      <w:szCs w:val="20"/>
      <w:lang w:val="en-GB" w:eastAsia="en-US"/>
    </w:rPr>
  </w:style>
  <w:style w:type="paragraph" w:customStyle="1" w:styleId="Chapter">
    <w:name w:val="Chapter"/>
    <w:basedOn w:val="Normal"/>
    <w:rsid w:val="00767D90"/>
    <w:pPr>
      <w:spacing w:before="240"/>
    </w:pPr>
    <w:rPr>
      <w:rFonts w:ascii="Times New Roman" w:hAnsi="Times New Roman"/>
      <w:smallCaps/>
      <w:spacing w:val="80"/>
      <w:sz w:val="28"/>
    </w:rPr>
  </w:style>
  <w:style w:type="paragraph" w:customStyle="1" w:styleId="InChapter">
    <w:name w:val="InChapter"/>
    <w:basedOn w:val="Heading3"/>
    <w:rsid w:val="00767D90"/>
    <w:pPr>
      <w:spacing w:after="240"/>
      <w:outlineLvl w:val="9"/>
    </w:pPr>
    <w:rPr>
      <w:noProof/>
    </w:rPr>
  </w:style>
  <w:style w:type="paragraph" w:styleId="Index2">
    <w:name w:val="index 2"/>
    <w:basedOn w:val="Normal"/>
    <w:next w:val="Normal"/>
    <w:semiHidden/>
    <w:rsid w:val="00767D90"/>
    <w:pPr>
      <w:tabs>
        <w:tab w:val="right" w:pos="4176"/>
      </w:tabs>
      <w:ind w:left="568" w:hanging="284"/>
    </w:pPr>
    <w:rPr>
      <w:rFonts w:ascii="Garamond" w:hAnsi="Garamond"/>
    </w:rPr>
  </w:style>
  <w:style w:type="paragraph" w:customStyle="1" w:styleId="Byline">
    <w:name w:val="Byline"/>
    <w:rsid w:val="00767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D90"/>
    <w:pPr>
      <w:tabs>
        <w:tab w:val="clear" w:pos="3600"/>
        <w:tab w:val="clear" w:pos="3958"/>
      </w:tabs>
      <w:jc w:val="right"/>
    </w:pPr>
  </w:style>
  <w:style w:type="character" w:styleId="Emphasis">
    <w:name w:val="Emphasis"/>
    <w:basedOn w:val="DefaultParagraphFont"/>
    <w:qFormat/>
    <w:rsid w:val="00767D90"/>
    <w:rPr>
      <w:i/>
    </w:rPr>
  </w:style>
  <w:style w:type="paragraph" w:styleId="Caption">
    <w:name w:val="caption"/>
    <w:basedOn w:val="BodyText"/>
    <w:next w:val="Normal"/>
    <w:qFormat/>
    <w:rsid w:val="00767D90"/>
    <w:pPr>
      <w:framePr w:w="2268" w:hSpace="181" w:vSpace="181" w:wrap="around" w:vAnchor="text" w:hAnchor="page" w:x="1135" w:y="285" w:anchorLock="1"/>
    </w:pPr>
    <w:rPr>
      <w:i/>
    </w:rPr>
  </w:style>
  <w:style w:type="paragraph" w:customStyle="1" w:styleId="MiniTOCTitle">
    <w:name w:val="MiniTOCTitle"/>
    <w:basedOn w:val="Heading4"/>
    <w:rsid w:val="00767D90"/>
    <w:pPr>
      <w:spacing w:before="240"/>
      <w:outlineLvl w:val="9"/>
    </w:pPr>
    <w:rPr>
      <w:noProof/>
      <w:sz w:val="24"/>
    </w:rPr>
  </w:style>
  <w:style w:type="paragraph" w:customStyle="1" w:styleId="MiniTOCItem">
    <w:name w:val="MiniTOCItem"/>
    <w:basedOn w:val="ListBullet"/>
    <w:rsid w:val="00767D90"/>
    <w:pPr>
      <w:numPr>
        <w:numId w:val="0"/>
      </w:numPr>
      <w:tabs>
        <w:tab w:val="right" w:leader="dot" w:pos="6521"/>
      </w:tabs>
      <w:spacing w:before="0" w:after="0"/>
    </w:pPr>
  </w:style>
  <w:style w:type="paragraph" w:customStyle="1" w:styleId="TOFTitle">
    <w:name w:val="TOFTitle"/>
    <w:basedOn w:val="TOCTitle"/>
    <w:rsid w:val="00767D90"/>
  </w:style>
  <w:style w:type="paragraph" w:styleId="TableofFigures">
    <w:name w:val="table of figures"/>
    <w:basedOn w:val="Normal"/>
    <w:next w:val="Normal"/>
    <w:semiHidden/>
    <w:rsid w:val="00767D90"/>
    <w:pPr>
      <w:tabs>
        <w:tab w:val="right" w:leader="dot" w:pos="9072"/>
      </w:tabs>
      <w:ind w:left="970" w:hanging="403"/>
    </w:pPr>
    <w:rPr>
      <w:rFonts w:ascii="Times New Roman" w:hAnsi="Times New Roman"/>
      <w:b/>
    </w:rPr>
  </w:style>
  <w:style w:type="paragraph" w:styleId="ListNumber">
    <w:name w:val="List Number"/>
    <w:basedOn w:val="List"/>
    <w:rsid w:val="00767D90"/>
    <w:pPr>
      <w:numPr>
        <w:numId w:val="16"/>
      </w:numPr>
      <w:tabs>
        <w:tab w:val="clear" w:pos="340"/>
      </w:tabs>
    </w:pPr>
  </w:style>
  <w:style w:type="character" w:customStyle="1" w:styleId="WingdingSymbols">
    <w:name w:val="Wingding Symbols"/>
    <w:rsid w:val="00767D90"/>
    <w:rPr>
      <w:rFonts w:ascii="Wingdings" w:hAnsi="Wingdings"/>
    </w:rPr>
  </w:style>
  <w:style w:type="paragraph" w:customStyle="1" w:styleId="TableHeading">
    <w:name w:val="Table Heading"/>
    <w:basedOn w:val="HeadingBase"/>
    <w:rsid w:val="00767D90"/>
    <w:pPr>
      <w:keepLines/>
      <w:pBdr>
        <w:bottom w:val="single" w:sz="6" w:space="1" w:color="918585"/>
      </w:pBdr>
      <w:spacing w:before="240"/>
    </w:pPr>
  </w:style>
  <w:style w:type="character" w:customStyle="1" w:styleId="HotSpot">
    <w:name w:val="HotSpot"/>
    <w:rsid w:val="00767D90"/>
    <w:rPr>
      <w:color w:val="0033CC"/>
      <w:u w:val="none"/>
    </w:rPr>
  </w:style>
  <w:style w:type="paragraph" w:customStyle="1" w:styleId="BodyTextRight">
    <w:name w:val="Body Text Right"/>
    <w:basedOn w:val="BodyText"/>
    <w:rsid w:val="00767D90"/>
    <w:pPr>
      <w:spacing w:before="0" w:after="0"/>
      <w:jc w:val="right"/>
    </w:pPr>
  </w:style>
  <w:style w:type="paragraph" w:styleId="Index3">
    <w:name w:val="index 3"/>
    <w:basedOn w:val="ListNumber2"/>
    <w:next w:val="Normal"/>
    <w:semiHidden/>
    <w:rsid w:val="00767D90"/>
    <w:pPr>
      <w:numPr>
        <w:numId w:val="0"/>
      </w:numPr>
      <w:tabs>
        <w:tab w:val="right" w:leader="dot" w:pos="4176"/>
      </w:tabs>
    </w:pPr>
  </w:style>
  <w:style w:type="paragraph" w:styleId="ListNumber2">
    <w:name w:val="List Number 2"/>
    <w:basedOn w:val="List2"/>
    <w:rsid w:val="00767D90"/>
    <w:pPr>
      <w:numPr>
        <w:numId w:val="11"/>
      </w:numPr>
      <w:tabs>
        <w:tab w:val="clear" w:pos="1060"/>
      </w:tabs>
    </w:pPr>
  </w:style>
  <w:style w:type="paragraph" w:customStyle="1" w:styleId="MarginNote">
    <w:name w:val="Margin Note"/>
    <w:basedOn w:val="BodyText"/>
    <w:rsid w:val="00767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D90"/>
    <w:rPr>
      <w:sz w:val="32"/>
    </w:rPr>
  </w:style>
  <w:style w:type="paragraph" w:customStyle="1" w:styleId="HeadingProcedure">
    <w:name w:val="Heading Procedure"/>
    <w:basedOn w:val="HeadingBase"/>
    <w:next w:val="Normal"/>
    <w:rsid w:val="00767D90"/>
    <w:pPr>
      <w:tabs>
        <w:tab w:val="left" w:pos="0"/>
      </w:tabs>
      <w:spacing w:before="120" w:after="60"/>
    </w:pPr>
    <w:rPr>
      <w:i/>
      <w:color w:val="918585"/>
      <w:sz w:val="22"/>
    </w:rPr>
  </w:style>
  <w:style w:type="paragraph" w:customStyle="1" w:styleId="TableBodyText">
    <w:name w:val="Table Body Text"/>
    <w:basedOn w:val="BodyText"/>
    <w:rsid w:val="00767D90"/>
    <w:pPr>
      <w:spacing w:before="60" w:after="60"/>
    </w:pPr>
  </w:style>
  <w:style w:type="paragraph" w:styleId="ListContinue">
    <w:name w:val="List Continue"/>
    <w:basedOn w:val="List"/>
    <w:rsid w:val="00767D90"/>
    <w:pPr>
      <w:ind w:firstLine="0"/>
    </w:pPr>
  </w:style>
  <w:style w:type="paragraph" w:customStyle="1" w:styleId="ListNote">
    <w:name w:val="List Note"/>
    <w:basedOn w:val="List"/>
    <w:rsid w:val="00767D90"/>
    <w:pPr>
      <w:pBdr>
        <w:top w:val="single" w:sz="6" w:space="2" w:color="918585"/>
        <w:bottom w:val="single" w:sz="6" w:space="2" w:color="918585"/>
      </w:pBdr>
      <w:tabs>
        <w:tab w:val="left" w:pos="1021"/>
      </w:tabs>
      <w:ind w:firstLine="0"/>
    </w:pPr>
  </w:style>
  <w:style w:type="paragraph" w:customStyle="1" w:styleId="Warning">
    <w:name w:val="Warning"/>
    <w:basedOn w:val="BodyText"/>
    <w:rsid w:val="00767D90"/>
    <w:pPr>
      <w:shd w:val="clear" w:color="auto" w:fill="D9D9D9"/>
      <w:tabs>
        <w:tab w:val="left" w:pos="992"/>
      </w:tabs>
      <w:ind w:left="119" w:right="119"/>
    </w:pPr>
    <w:rPr>
      <w:sz w:val="20"/>
    </w:rPr>
  </w:style>
  <w:style w:type="paragraph" w:customStyle="1" w:styleId="MarginIcons">
    <w:name w:val="Margin Icons"/>
    <w:basedOn w:val="BodyText"/>
    <w:rsid w:val="00767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D90"/>
    <w:rPr>
      <w:rFonts w:ascii="Courier New" w:hAnsi="Courier New"/>
    </w:rPr>
  </w:style>
  <w:style w:type="paragraph" w:customStyle="1" w:styleId="NoteBullet">
    <w:name w:val="Note Bullet"/>
    <w:basedOn w:val="Note"/>
    <w:rsid w:val="00767D90"/>
    <w:pPr>
      <w:tabs>
        <w:tab w:val="clear" w:pos="680"/>
      </w:tabs>
      <w:spacing w:before="60" w:after="60"/>
    </w:pPr>
  </w:style>
  <w:style w:type="paragraph" w:customStyle="1" w:styleId="SubHeading2">
    <w:name w:val="SubHeading2"/>
    <w:basedOn w:val="HeadingBase"/>
    <w:rsid w:val="00767D90"/>
    <w:pPr>
      <w:spacing w:before="240" w:after="60"/>
    </w:pPr>
    <w:rPr>
      <w:sz w:val="20"/>
    </w:rPr>
  </w:style>
  <w:style w:type="paragraph" w:customStyle="1" w:styleId="SubHeading1">
    <w:name w:val="SubHeading1"/>
    <w:basedOn w:val="HeadingBase"/>
    <w:rsid w:val="00767D90"/>
    <w:pPr>
      <w:spacing w:before="240" w:after="60"/>
    </w:pPr>
    <w:rPr>
      <w:color w:val="918585"/>
      <w:sz w:val="22"/>
    </w:rPr>
  </w:style>
  <w:style w:type="paragraph" w:customStyle="1" w:styleId="SideHeading">
    <w:name w:val="Side Heading"/>
    <w:basedOn w:val="HeadingBase"/>
    <w:rsid w:val="00767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D90"/>
    <w:pPr>
      <w:numPr>
        <w:numId w:val="12"/>
      </w:numPr>
    </w:pPr>
  </w:style>
  <w:style w:type="paragraph" w:styleId="PlainText">
    <w:name w:val="Plain Text"/>
    <w:basedOn w:val="Normal"/>
    <w:link w:val="PlainTextChar"/>
    <w:rsid w:val="00767D90"/>
    <w:rPr>
      <w:sz w:val="20"/>
    </w:rPr>
  </w:style>
  <w:style w:type="character" w:customStyle="1" w:styleId="PlainTextChar">
    <w:name w:val="Plain Text Char"/>
    <w:basedOn w:val="DefaultParagraphFont"/>
    <w:link w:val="PlainText"/>
    <w:rsid w:val="00767D90"/>
    <w:rPr>
      <w:rFonts w:ascii="Courier New" w:eastAsia="Times New Roman" w:hAnsi="Courier New" w:cs="Times New Roman"/>
      <w:sz w:val="20"/>
      <w:szCs w:val="20"/>
      <w:lang w:eastAsia="en-US"/>
    </w:rPr>
  </w:style>
  <w:style w:type="character" w:customStyle="1" w:styleId="MenuOption">
    <w:name w:val="Menu Option"/>
    <w:basedOn w:val="DefaultParagraphFont"/>
    <w:rsid w:val="00767D90"/>
    <w:rPr>
      <w:b/>
      <w:smallCaps/>
    </w:rPr>
  </w:style>
  <w:style w:type="paragraph" w:customStyle="1" w:styleId="TableListNumber">
    <w:name w:val="Table List Number"/>
    <w:basedOn w:val="ListNumber"/>
    <w:rsid w:val="00767D90"/>
    <w:pPr>
      <w:numPr>
        <w:numId w:val="0"/>
      </w:numPr>
    </w:pPr>
  </w:style>
  <w:style w:type="paragraph" w:styleId="TOC4">
    <w:name w:val="toc 4"/>
    <w:basedOn w:val="TOCBase"/>
    <w:next w:val="Normal"/>
    <w:semiHidden/>
    <w:rsid w:val="00767D90"/>
    <w:pPr>
      <w:tabs>
        <w:tab w:val="right" w:leader="dot" w:pos="9071"/>
      </w:tabs>
      <w:ind w:left="1701"/>
    </w:pPr>
  </w:style>
  <w:style w:type="paragraph" w:customStyle="1" w:styleId="ListAlpha">
    <w:name w:val="List Alpha"/>
    <w:basedOn w:val="List"/>
    <w:rsid w:val="00767D90"/>
    <w:pPr>
      <w:numPr>
        <w:numId w:val="10"/>
      </w:numPr>
    </w:pPr>
  </w:style>
  <w:style w:type="paragraph" w:customStyle="1" w:styleId="ListAlpha2">
    <w:name w:val="List Alpha 2"/>
    <w:basedOn w:val="List2"/>
    <w:rsid w:val="00767D90"/>
    <w:pPr>
      <w:numPr>
        <w:numId w:val="9"/>
      </w:numPr>
    </w:pPr>
  </w:style>
  <w:style w:type="paragraph" w:styleId="List2">
    <w:name w:val="List 2"/>
    <w:basedOn w:val="BodyText"/>
    <w:rsid w:val="00767D90"/>
    <w:pPr>
      <w:tabs>
        <w:tab w:val="left" w:pos="680"/>
      </w:tabs>
      <w:spacing w:before="60" w:after="60"/>
      <w:ind w:left="680" w:hanging="340"/>
    </w:pPr>
  </w:style>
  <w:style w:type="paragraph" w:styleId="List3">
    <w:name w:val="List 3"/>
    <w:basedOn w:val="BodyText"/>
    <w:rsid w:val="00767D90"/>
    <w:pPr>
      <w:tabs>
        <w:tab w:val="left" w:pos="1021"/>
      </w:tabs>
      <w:spacing w:before="60" w:after="60"/>
      <w:ind w:left="1020" w:hanging="340"/>
    </w:pPr>
  </w:style>
  <w:style w:type="paragraph" w:styleId="List4">
    <w:name w:val="List 4"/>
    <w:basedOn w:val="BodyText"/>
    <w:rsid w:val="00767D90"/>
    <w:pPr>
      <w:tabs>
        <w:tab w:val="left" w:pos="1361"/>
      </w:tabs>
      <w:spacing w:before="60" w:after="60"/>
      <w:ind w:left="1361" w:hanging="340"/>
    </w:pPr>
  </w:style>
  <w:style w:type="paragraph" w:styleId="List5">
    <w:name w:val="List 5"/>
    <w:basedOn w:val="BodyText"/>
    <w:rsid w:val="00767D90"/>
    <w:pPr>
      <w:tabs>
        <w:tab w:val="left" w:pos="1701"/>
      </w:tabs>
      <w:spacing w:before="60" w:after="60"/>
      <w:ind w:left="1701" w:hanging="340"/>
    </w:pPr>
  </w:style>
  <w:style w:type="paragraph" w:styleId="ListBullet4">
    <w:name w:val="List Bullet 4"/>
    <w:basedOn w:val="List4"/>
    <w:rsid w:val="00767D90"/>
    <w:pPr>
      <w:numPr>
        <w:numId w:val="4"/>
      </w:numPr>
      <w:tabs>
        <w:tab w:val="clear" w:pos="1361"/>
      </w:tabs>
    </w:pPr>
  </w:style>
  <w:style w:type="paragraph" w:styleId="ListBullet5">
    <w:name w:val="List Bullet 5"/>
    <w:basedOn w:val="List5"/>
    <w:rsid w:val="00767D90"/>
    <w:pPr>
      <w:numPr>
        <w:numId w:val="5"/>
      </w:numPr>
    </w:pPr>
  </w:style>
  <w:style w:type="paragraph" w:styleId="ListContinue2">
    <w:name w:val="List Continue 2"/>
    <w:basedOn w:val="List2"/>
    <w:rsid w:val="00767D90"/>
    <w:pPr>
      <w:ind w:firstLine="0"/>
    </w:pPr>
  </w:style>
  <w:style w:type="paragraph" w:styleId="ListContinue3">
    <w:name w:val="List Continue 3"/>
    <w:basedOn w:val="List3"/>
    <w:rsid w:val="00767D90"/>
    <w:pPr>
      <w:ind w:left="1021" w:firstLine="0"/>
    </w:pPr>
  </w:style>
  <w:style w:type="paragraph" w:styleId="ListContinue4">
    <w:name w:val="List Continue 4"/>
    <w:basedOn w:val="List4"/>
    <w:rsid w:val="00767D90"/>
    <w:pPr>
      <w:ind w:firstLine="0"/>
    </w:pPr>
  </w:style>
  <w:style w:type="paragraph" w:styleId="ListContinue5">
    <w:name w:val="List Continue 5"/>
    <w:basedOn w:val="List5"/>
    <w:rsid w:val="00767D90"/>
    <w:pPr>
      <w:ind w:firstLine="0"/>
    </w:pPr>
  </w:style>
  <w:style w:type="paragraph" w:styleId="ListNumber3">
    <w:name w:val="List Number 3"/>
    <w:basedOn w:val="List3"/>
    <w:rsid w:val="00767D90"/>
    <w:pPr>
      <w:numPr>
        <w:numId w:val="6"/>
      </w:numPr>
    </w:pPr>
  </w:style>
  <w:style w:type="paragraph" w:styleId="ListNumber4">
    <w:name w:val="List Number 4"/>
    <w:basedOn w:val="List4"/>
    <w:rsid w:val="00767D90"/>
    <w:pPr>
      <w:numPr>
        <w:numId w:val="7"/>
      </w:numPr>
    </w:pPr>
  </w:style>
  <w:style w:type="paragraph" w:styleId="ListNumber5">
    <w:name w:val="List Number 5"/>
    <w:basedOn w:val="List5"/>
    <w:rsid w:val="00767D90"/>
    <w:pPr>
      <w:numPr>
        <w:numId w:val="8"/>
      </w:numPr>
    </w:pPr>
  </w:style>
  <w:style w:type="paragraph" w:styleId="BlockText">
    <w:name w:val="Block Text"/>
    <w:basedOn w:val="Normal"/>
    <w:rsid w:val="00767D90"/>
    <w:pPr>
      <w:spacing w:after="120"/>
      <w:ind w:left="1440" w:right="1440"/>
    </w:pPr>
  </w:style>
  <w:style w:type="character" w:customStyle="1" w:styleId="Subscript">
    <w:name w:val="Subscript"/>
    <w:basedOn w:val="DefaultParagraphFont"/>
    <w:rsid w:val="00767D90"/>
    <w:rPr>
      <w:sz w:val="16"/>
      <w:vertAlign w:val="subscript"/>
    </w:rPr>
  </w:style>
  <w:style w:type="character" w:customStyle="1" w:styleId="Superscript">
    <w:name w:val="Superscript"/>
    <w:basedOn w:val="DefaultParagraphFont"/>
    <w:rsid w:val="00767D90"/>
    <w:rPr>
      <w:sz w:val="16"/>
      <w:vertAlign w:val="superscript"/>
    </w:rPr>
  </w:style>
  <w:style w:type="character" w:customStyle="1" w:styleId="Symbols">
    <w:name w:val="Symbols"/>
    <w:basedOn w:val="DefaultParagraphFont"/>
    <w:rsid w:val="00767D90"/>
    <w:rPr>
      <w:rFonts w:ascii="Symbol" w:hAnsi="Symbol"/>
    </w:rPr>
  </w:style>
  <w:style w:type="character" w:customStyle="1" w:styleId="MenuOptions">
    <w:name w:val="Menu Options"/>
    <w:basedOn w:val="DefaultParagraphFont"/>
    <w:rsid w:val="00767D90"/>
    <w:rPr>
      <w:rFonts w:ascii="Arial Narrow" w:hAnsi="Arial Narrow"/>
      <w:smallCaps/>
    </w:rPr>
  </w:style>
  <w:style w:type="character" w:customStyle="1" w:styleId="Buttons">
    <w:name w:val="Buttons"/>
    <w:basedOn w:val="DefaultParagraphFont"/>
    <w:rsid w:val="00767D90"/>
    <w:rPr>
      <w:b/>
    </w:rPr>
  </w:style>
  <w:style w:type="character" w:customStyle="1" w:styleId="Underlined">
    <w:name w:val="Underlined"/>
    <w:basedOn w:val="DefaultParagraphFont"/>
    <w:rsid w:val="00767D90"/>
    <w:rPr>
      <w:u w:val="single"/>
    </w:rPr>
  </w:style>
  <w:style w:type="paragraph" w:customStyle="1" w:styleId="TableBodyTextRight">
    <w:name w:val="Table Body Text Right"/>
    <w:basedOn w:val="TableBodyText"/>
    <w:rsid w:val="00767D90"/>
    <w:pPr>
      <w:widowControl w:val="0"/>
      <w:autoSpaceDE w:val="0"/>
      <w:autoSpaceDN w:val="0"/>
      <w:adjustRightInd w:val="0"/>
      <w:jc w:val="right"/>
    </w:pPr>
    <w:rPr>
      <w:rFonts w:cs="Arial"/>
      <w:szCs w:val="18"/>
    </w:rPr>
  </w:style>
  <w:style w:type="paragraph" w:customStyle="1" w:styleId="CopyrightText">
    <w:name w:val="Copyright Text"/>
    <w:basedOn w:val="BodyText"/>
    <w:rsid w:val="00767D90"/>
    <w:rPr>
      <w:sz w:val="18"/>
    </w:rPr>
  </w:style>
  <w:style w:type="paragraph" w:customStyle="1" w:styleId="BodySmallRight">
    <w:name w:val="Body Small Right"/>
    <w:basedOn w:val="BodyTextRight"/>
    <w:rsid w:val="00767D90"/>
    <w:rPr>
      <w:sz w:val="18"/>
      <w:szCs w:val="18"/>
    </w:rPr>
  </w:style>
  <w:style w:type="paragraph" w:customStyle="1" w:styleId="MarginEdition">
    <w:name w:val="Margin Edition"/>
    <w:basedOn w:val="MarginNote"/>
    <w:rsid w:val="00767D90"/>
    <w:pPr>
      <w:spacing w:before="0" w:after="0"/>
    </w:pPr>
    <w:rPr>
      <w:rFonts w:ascii="Times New Roman" w:hAnsi="Times New Roman"/>
      <w:color w:val="999999"/>
    </w:rPr>
  </w:style>
  <w:style w:type="paragraph" w:customStyle="1" w:styleId="Spacer">
    <w:name w:val="Spacer"/>
    <w:basedOn w:val="Normal"/>
    <w:rsid w:val="00767D90"/>
    <w:rPr>
      <w:sz w:val="2"/>
      <w:szCs w:val="2"/>
    </w:rPr>
  </w:style>
  <w:style w:type="character" w:customStyle="1" w:styleId="Small">
    <w:name w:val="Small"/>
    <w:basedOn w:val="DefaultParagraphFont"/>
    <w:rsid w:val="00767D90"/>
    <w:rPr>
      <w:sz w:val="16"/>
    </w:rPr>
  </w:style>
  <w:style w:type="paragraph" w:customStyle="1" w:styleId="WideTable">
    <w:name w:val="Wide Table"/>
    <w:basedOn w:val="Normal"/>
    <w:rsid w:val="00767D90"/>
    <w:pPr>
      <w:ind w:left="-1418"/>
    </w:pPr>
    <w:rPr>
      <w:sz w:val="2"/>
      <w:szCs w:val="2"/>
    </w:rPr>
  </w:style>
  <w:style w:type="character" w:styleId="PageNumber">
    <w:name w:val="page number"/>
    <w:basedOn w:val="DefaultParagraphFont"/>
    <w:rsid w:val="00767D90"/>
  </w:style>
  <w:style w:type="paragraph" w:styleId="Quote">
    <w:name w:val="Quote"/>
    <w:basedOn w:val="Heading1"/>
    <w:link w:val="QuoteChar"/>
    <w:qFormat/>
    <w:rsid w:val="00767D90"/>
    <w:rPr>
      <w:b w:val="0"/>
      <w:sz w:val="72"/>
      <w:szCs w:val="72"/>
      <w:lang w:val="en-NZ"/>
    </w:rPr>
  </w:style>
  <w:style w:type="character" w:customStyle="1" w:styleId="QuoteChar">
    <w:name w:val="Quote Char"/>
    <w:basedOn w:val="DefaultParagraphFont"/>
    <w:link w:val="Quote"/>
    <w:rsid w:val="00767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D90"/>
    <w:pPr>
      <w:pageBreakBefore/>
    </w:pPr>
  </w:style>
  <w:style w:type="paragraph" w:customStyle="1" w:styleId="Border">
    <w:name w:val="Border"/>
    <w:basedOn w:val="Normal"/>
    <w:qFormat/>
    <w:rsid w:val="00767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D90"/>
    <w:rPr>
      <w:b/>
      <w:bCs/>
      <w:i/>
      <w:iCs/>
      <w:color w:val="auto"/>
    </w:rPr>
  </w:style>
  <w:style w:type="paragraph" w:styleId="IntenseQuote">
    <w:name w:val="Intense Quote"/>
    <w:basedOn w:val="Normal"/>
    <w:next w:val="Normal"/>
    <w:link w:val="IntenseQuoteChar"/>
    <w:uiPriority w:val="30"/>
    <w:qFormat/>
    <w:rsid w:val="00767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D90"/>
    <w:rPr>
      <w:smallCaps/>
      <w:color w:val="auto"/>
      <w:u w:val="single"/>
    </w:rPr>
  </w:style>
  <w:style w:type="character" w:styleId="IntenseReference">
    <w:name w:val="Intense Reference"/>
    <w:basedOn w:val="DefaultParagraphFont"/>
    <w:uiPriority w:val="32"/>
    <w:qFormat/>
    <w:rsid w:val="00767D90"/>
    <w:rPr>
      <w:b/>
      <w:bCs/>
      <w:smallCaps/>
      <w:color w:val="auto"/>
      <w:spacing w:val="5"/>
      <w:u w:val="single"/>
    </w:rPr>
  </w:style>
  <w:style w:type="paragraph" w:customStyle="1" w:styleId="2ColumnHeading">
    <w:name w:val="2Column Heading"/>
    <w:basedOn w:val="BodyText"/>
    <w:qFormat/>
    <w:rsid w:val="00767D90"/>
    <w:pPr>
      <w:spacing w:after="60"/>
      <w:ind w:left="-2268"/>
    </w:pPr>
    <w:rPr>
      <w:b/>
    </w:rPr>
  </w:style>
  <w:style w:type="paragraph" w:customStyle="1" w:styleId="Heading1TOC">
    <w:name w:val="Heading1 TOC"/>
    <w:basedOn w:val="Normal"/>
    <w:qFormat/>
    <w:rsid w:val="00767D90"/>
    <w:pPr>
      <w:spacing w:before="240" w:after="120"/>
    </w:pPr>
    <w:rPr>
      <w:rFonts w:ascii="Times New Roman" w:hAnsi="Times New Roman"/>
      <w:b/>
      <w:sz w:val="32"/>
    </w:rPr>
  </w:style>
  <w:style w:type="paragraph" w:customStyle="1" w:styleId="Heading2TOC">
    <w:name w:val="Heading2 TOC"/>
    <w:basedOn w:val="Normal"/>
    <w:qFormat/>
    <w:rsid w:val="00767D90"/>
    <w:pPr>
      <w:spacing w:before="240" w:after="60"/>
    </w:pPr>
    <w:rPr>
      <w:rFonts w:ascii="Times New Roman" w:hAnsi="Times New Roman"/>
      <w:b/>
      <w:sz w:val="28"/>
    </w:rPr>
  </w:style>
  <w:style w:type="character" w:customStyle="1" w:styleId="Underline">
    <w:name w:val="Underline"/>
    <w:basedOn w:val="DefaultParagraphFont"/>
    <w:qFormat/>
    <w:rsid w:val="00767D90"/>
    <w:rPr>
      <w:u w:val="single"/>
    </w:rPr>
  </w:style>
  <w:style w:type="character" w:customStyle="1" w:styleId="BoldandItalics">
    <w:name w:val="Bold and Italics"/>
    <w:qFormat/>
    <w:rsid w:val="00767D90"/>
    <w:rPr>
      <w:b/>
      <w:i/>
      <w:u w:val="none"/>
    </w:rPr>
  </w:style>
  <w:style w:type="paragraph" w:styleId="BalloonText">
    <w:name w:val="Balloon Text"/>
    <w:basedOn w:val="Normal"/>
    <w:link w:val="BalloonTextChar"/>
    <w:rsid w:val="00767D90"/>
    <w:rPr>
      <w:rFonts w:ascii="Tahoma" w:hAnsi="Tahoma" w:cs="Tahoma"/>
      <w:sz w:val="16"/>
      <w:szCs w:val="16"/>
    </w:rPr>
  </w:style>
  <w:style w:type="character" w:customStyle="1" w:styleId="BalloonTextChar">
    <w:name w:val="Balloon Text Char"/>
    <w:basedOn w:val="DefaultParagraphFont"/>
    <w:link w:val="BalloonText"/>
    <w:rsid w:val="00767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D90"/>
    <w:rPr>
      <w:b/>
      <w:color w:val="660033"/>
      <w:spacing w:val="0"/>
    </w:rPr>
  </w:style>
  <w:style w:type="paragraph" w:customStyle="1" w:styleId="Nameditemlist">
    <w:name w:val="Named item list"/>
    <w:basedOn w:val="BodyText"/>
    <w:qFormat/>
    <w:rsid w:val="00767D90"/>
    <w:pPr>
      <w:tabs>
        <w:tab w:val="left" w:pos="2835"/>
      </w:tabs>
      <w:ind w:left="2835" w:hanging="2835"/>
    </w:pPr>
  </w:style>
  <w:style w:type="paragraph" w:customStyle="1" w:styleId="BodyTextnopadding">
    <w:name w:val="Body Text no padding"/>
    <w:basedOn w:val="BodyText"/>
    <w:qFormat/>
    <w:rsid w:val="00767D90"/>
    <w:pPr>
      <w:spacing w:before="0" w:after="0"/>
    </w:pPr>
  </w:style>
  <w:style w:type="paragraph" w:customStyle="1" w:styleId="BodyTextBold">
    <w:name w:val="Body Text Bold"/>
    <w:basedOn w:val="BodyText"/>
    <w:qFormat/>
    <w:rsid w:val="00767D90"/>
    <w:rPr>
      <w:b/>
    </w:rPr>
  </w:style>
  <w:style w:type="character" w:styleId="Hyperlink">
    <w:name w:val="Hyperlink"/>
    <w:basedOn w:val="DefaultParagraphFont"/>
    <w:uiPriority w:val="99"/>
    <w:unhideWhenUsed/>
    <w:rsid w:val="00D424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4544</Characters>
  <Application>Microsoft Office Word</Application>
  <DocSecurity>0</DocSecurity>
  <Lines>122</Lines>
  <Paragraphs>96</Paragraphs>
  <ScaleCrop>false</ScaleCrop>
  <Company>Author-it Software Corporation Ltd.</Company>
  <LinksUpToDate>false</LinksUpToDate>
  <CharactersWithSpaces>5099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UEEEL0063 Provide photometric data for illumination system design</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