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51E" w:rsidP="009F651E">
      <w:pPr>
        <w:pStyle w:val="Title"/>
      </w:pPr>
      <w:r>
        <w:fldChar w:fldCharType="begin"/>
      </w:r>
      <w:r>
        <w:instrText xml:space="preserve"> TITLE   \* MERGEFORMAT </w:instrText>
      </w:r>
      <w:r>
        <w:fldChar w:fldCharType="separate"/>
      </w:r>
      <w:r>
        <w:t>Assessment Requirements for UEEEL0056 Place and connect electrical coils</w:t>
      </w:r>
      <w:r>
        <w:fldChar w:fldCharType="end"/>
      </w:r>
    </w:p>
    <w:p w:rsidR="009F651E" w:rsidP="009F651E">
      <w:pPr>
        <w:pStyle w:val="Version"/>
        <w:sectPr w:rsidSect="006D2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751" w:rsidP="006D2751">
      <w:pPr>
        <w:pStyle w:val="SuperHeading"/>
      </w:pPr>
      <w:r w:rsidRPr="006D2751">
        <w:t>Assessment Requirements for UEEEL0056 Place and connect electrical coils</w:t>
      </w:r>
    </w:p>
    <w:p w:rsidR="00000000" w:rsidRPr="006D2751" w:rsidP="006D2751">
      <w:pPr>
        <w:pStyle w:val="Heading1"/>
      </w:pPr>
      <w:bookmarkStart w:id="1" w:name="O_1104511"/>
      <w:bookmarkEnd w:id="1"/>
      <w:r w:rsidRPr="006D2751">
        <w:t>Modification History</w:t>
      </w:r>
    </w:p>
    <w:tbl>
      <w:tblPr>
        <w:tblW w:w="9497" w:type="dxa"/>
        <w:tblLayout w:type="fixed"/>
        <w:tblCellMar>
          <w:left w:w="62" w:type="dxa"/>
          <w:right w:w="62" w:type="dxa"/>
        </w:tblCellMar>
        <w:tblLook w:val="0000"/>
      </w:tblPr>
      <w:tblGrid>
        <w:gridCol w:w="9497"/>
      </w:tblGrid>
      <w:tr w:rsidTr="006D2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751" w:rsidP="006D2751">
            <w:pPr>
              <w:pStyle w:val="BodyText"/>
            </w:pPr>
            <w:r w:rsidRPr="006D2751">
              <w:t>Release 1. This is the first release of this unit of competency in the UEE Electrotechnology Training Package.</w:t>
            </w:r>
          </w:p>
        </w:tc>
      </w:tr>
    </w:tbl>
    <w:p w:rsidR="00000000" w:rsidRPr="006D2751" w:rsidP="006D2751">
      <w:pPr>
        <w:pStyle w:val="NoPaddingFontSize1"/>
      </w:pPr>
    </w:p>
    <w:p w:rsidR="00000000" w:rsidRPr="006D2751" w:rsidP="006D2751">
      <w:pPr>
        <w:pStyle w:val="AllowPageBreak"/>
      </w:pPr>
    </w:p>
    <w:p w:rsidR="00000000" w:rsidRPr="006D2751" w:rsidP="006D2751">
      <w:pPr>
        <w:pStyle w:val="Heading1"/>
      </w:pPr>
      <w:bookmarkStart w:id="2" w:name="O_1104512"/>
      <w:bookmarkEnd w:id="2"/>
      <w:r w:rsidRPr="006D2751">
        <w:t>Performance Evidence</w:t>
      </w:r>
    </w:p>
    <w:tbl>
      <w:tblPr>
        <w:tblW w:w="9497" w:type="dxa"/>
        <w:tblLayout w:type="fixed"/>
        <w:tblCellMar>
          <w:left w:w="62" w:type="dxa"/>
          <w:right w:w="62" w:type="dxa"/>
        </w:tblCellMar>
        <w:tblLook w:val="0000"/>
      </w:tblPr>
      <w:tblGrid>
        <w:gridCol w:w="9497"/>
      </w:tblGrid>
      <w:tr w:rsidTr="006D2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751">
            <w:pPr>
              <w:pStyle w:val="BodyText"/>
              <w:rPr>
                <w:lang w:val="en-NZ"/>
              </w:rPr>
            </w:pPr>
            <w:r w:rsidRPr="006D2751">
              <w:t xml:space="preserve">Evidence required to demonstrate competence in this unit must be relevant to and satisfy all of the requirements of the elements, performance criteria and range of conditions on at least two separate occasions and include: </w:t>
            </w:r>
          </w:p>
        </w:tc>
      </w:tr>
      <w:tr w:rsidTr="006D2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751" w:rsidP="006D2751">
            <w:pPr>
              <w:pStyle w:val="ListBullet"/>
            </w:pPr>
            <w:r w:rsidRPr="006D2751">
              <w:t xml:space="preserve">applying </w:t>
            </w:r>
            <w:r w:rsidRPr="006D2751">
              <w:t>relevant work health and safety (WHS)/occupational health and safety (OHS) requirements and workplace procedures and practices, including using risk control measures</w:t>
            </w:r>
          </w:p>
          <w:p w:rsidR="00000000" w:rsidRPr="006D2751" w:rsidP="006D2751">
            <w:pPr>
              <w:pStyle w:val="ListBullet"/>
            </w:pPr>
            <w:r w:rsidRPr="006D2751">
              <w:t>applying sustainable energy principles and practices</w:t>
            </w:r>
          </w:p>
          <w:p w:rsidR="00000000" w:rsidRPr="006D2751" w:rsidP="006D2751">
            <w:pPr>
              <w:pStyle w:val="ListBullet"/>
            </w:pPr>
            <w:r w:rsidRPr="006D2751">
              <w:t>placing and connecting electrical coi</w:t>
            </w:r>
            <w:r w:rsidRPr="006D2751">
              <w:t>ls, including:</w:t>
            </w:r>
          </w:p>
          <w:p w:rsidR="00000000" w:rsidRPr="006D2751" w:rsidP="006D2751">
            <w:pPr>
              <w:pStyle w:val="ListBullet2"/>
            </w:pPr>
            <w:r w:rsidRPr="006D2751">
              <w:t>adhering to electrical coil quality workplace procedures</w:t>
            </w:r>
          </w:p>
          <w:p w:rsidR="00000000" w:rsidRPr="006D2751" w:rsidP="006D2751">
            <w:pPr>
              <w:pStyle w:val="ListBullet2"/>
            </w:pPr>
            <w:r w:rsidRPr="006D2751">
              <w:t>completing workplace report/forms accurately</w:t>
            </w:r>
          </w:p>
          <w:p w:rsidR="00000000" w:rsidRPr="006D2751" w:rsidP="006D2751">
            <w:pPr>
              <w:pStyle w:val="ListBullet2"/>
            </w:pPr>
            <w:r w:rsidRPr="006D2751">
              <w:t>connecting coils correctly</w:t>
            </w:r>
          </w:p>
          <w:p w:rsidR="00000000" w:rsidRPr="006D2751" w:rsidP="006D2751">
            <w:pPr>
              <w:pStyle w:val="ListBullet2"/>
            </w:pPr>
            <w:r w:rsidRPr="006D2751">
              <w:t>cutting insulation and placing insulation and coils without damage</w:t>
            </w:r>
          </w:p>
          <w:p w:rsidR="00000000" w:rsidRPr="006D2751" w:rsidP="006D2751">
            <w:pPr>
              <w:pStyle w:val="ListBullet2"/>
            </w:pPr>
            <w:r w:rsidRPr="006D2751">
              <w:t>dealing with unplanned events in accordance with workplace procedures in a manner that minimises risk to personnel and equipment</w:t>
            </w:r>
          </w:p>
          <w:p w:rsidR="00000000" w:rsidRPr="006D2751" w:rsidP="006D2751">
            <w:pPr>
              <w:pStyle w:val="ListBullet2"/>
            </w:pPr>
            <w:r w:rsidRPr="006D2751">
              <w:t>following winding job specifications and instructions</w:t>
            </w:r>
          </w:p>
          <w:p w:rsidR="00000000" w:rsidRPr="006D2751" w:rsidP="006D2751">
            <w:pPr>
              <w:pStyle w:val="ListBullet2"/>
            </w:pPr>
            <w:r w:rsidRPr="006D2751">
              <w:t>preparing to place and connect coils</w:t>
            </w:r>
          </w:p>
          <w:p w:rsidR="00000000" w:rsidRPr="006D2751" w:rsidP="006D2751">
            <w:pPr>
              <w:pStyle w:val="ListBullet2"/>
            </w:pPr>
            <w:r w:rsidRPr="006D2751">
              <w:t>selecting correct coils and insulati</w:t>
            </w:r>
            <w:r w:rsidRPr="006D2751">
              <w:t>on</w:t>
            </w:r>
          </w:p>
          <w:p w:rsidR="00000000" w:rsidRPr="006D2751" w:rsidP="006D2751">
            <w:pPr>
              <w:pStyle w:val="ListBullet2"/>
            </w:pPr>
            <w:r w:rsidRPr="006D2751">
              <w:t>using tools safely in accordance with workplace procedures.</w:t>
            </w:r>
          </w:p>
        </w:tc>
      </w:tr>
    </w:tbl>
    <w:p w:rsidR="00000000" w:rsidRPr="006D2751" w:rsidP="006D2751">
      <w:pPr>
        <w:pStyle w:val="NoPaddingFontSize1"/>
      </w:pPr>
    </w:p>
    <w:p w:rsidR="00000000" w:rsidRPr="006D2751" w:rsidP="006D2751">
      <w:pPr>
        <w:pStyle w:val="AllowPageBreak"/>
      </w:pPr>
    </w:p>
    <w:p w:rsidR="00000000" w:rsidRPr="006D2751" w:rsidP="006D2751">
      <w:pPr>
        <w:pStyle w:val="Heading1"/>
      </w:pPr>
      <w:bookmarkStart w:id="3" w:name="O_1104513"/>
      <w:bookmarkEnd w:id="3"/>
      <w:r w:rsidRPr="006D2751">
        <w:t>Knowledge Evidence</w:t>
      </w:r>
    </w:p>
    <w:tbl>
      <w:tblPr>
        <w:tblW w:w="9497" w:type="dxa"/>
        <w:tblLayout w:type="fixed"/>
        <w:tblCellMar>
          <w:left w:w="62" w:type="dxa"/>
          <w:right w:w="62" w:type="dxa"/>
        </w:tblCellMar>
        <w:tblLook w:val="0000"/>
      </w:tblPr>
      <w:tblGrid>
        <w:gridCol w:w="9497"/>
      </w:tblGrid>
      <w:tr w:rsidTr="006D2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751">
            <w:pPr>
              <w:pStyle w:val="BodyText"/>
              <w:rPr>
                <w:lang w:val="en-NZ"/>
              </w:rPr>
            </w:pPr>
            <w:r w:rsidRPr="006D2751">
              <w:t>Evidence required to demonstrate competence in this unit must be relevant to and satisfy all of the requirements of the elements, performance criteria an</w:t>
            </w:r>
            <w:r w:rsidRPr="006D2751">
              <w:t xml:space="preserve">d range of conditions and include knowledge of: </w:t>
            </w:r>
          </w:p>
        </w:tc>
      </w:tr>
      <w:tr w:rsidTr="006D2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751" w:rsidP="006D2751">
            <w:pPr>
              <w:pStyle w:val="ListBullet"/>
            </w:pPr>
            <w:r w:rsidRPr="006D2751">
              <w:t>winding wires, including:</w:t>
            </w:r>
          </w:p>
          <w:p w:rsidR="00000000" w:rsidRPr="006D2751" w:rsidP="006D2751">
            <w:pPr>
              <w:pStyle w:val="ListBullet2"/>
            </w:pPr>
            <w:r w:rsidRPr="006D2751">
              <w:t>dangers relating to handling</w:t>
            </w:r>
          </w:p>
          <w:p w:rsidR="00000000" w:rsidRPr="006D2751" w:rsidP="006D2751">
            <w:pPr>
              <w:pStyle w:val="ListBullet2"/>
            </w:pPr>
            <w:r w:rsidRPr="006D2751">
              <w:t>measuring wires using a gauge and micrometer</w:t>
            </w:r>
          </w:p>
          <w:p w:rsidR="00000000" w:rsidRPr="006D2751" w:rsidP="006D2751">
            <w:pPr>
              <w:pStyle w:val="ListBullet2"/>
            </w:pPr>
            <w:r w:rsidRPr="006D2751">
              <w:t>methods of application, including brush, spray, dip and trickle</w:t>
            </w:r>
          </w:p>
          <w:p w:rsidR="00000000" w:rsidRPr="006D2751" w:rsidP="006D2751">
            <w:pPr>
              <w:pStyle w:val="ListBullet2"/>
            </w:pPr>
            <w:r w:rsidRPr="006D2751">
              <w:t>types of varnish, including air drying, baking and epoxy</w:t>
            </w:r>
          </w:p>
          <w:p w:rsidR="00000000" w:rsidRPr="006D2751" w:rsidP="006D2751">
            <w:pPr>
              <w:pStyle w:val="ListBullet2"/>
            </w:pPr>
            <w:r w:rsidRPr="006D2751">
              <w:t>types of winding wires</w:t>
            </w:r>
          </w:p>
          <w:p w:rsidR="00000000" w:rsidRPr="006D2751" w:rsidP="006D2751">
            <w:pPr>
              <w:pStyle w:val="ListBullet2"/>
            </w:pPr>
            <w:r w:rsidRPr="006D2751">
              <w:t>winding wire varnishes, temperature ratings and removal methods</w:t>
            </w:r>
          </w:p>
          <w:p w:rsidR="00000000" w:rsidRPr="006D2751" w:rsidP="006D2751">
            <w:pPr>
              <w:pStyle w:val="ListBullet"/>
            </w:pPr>
            <w:r w:rsidRPr="006D2751">
              <w:t>applications of winding wires, including:</w:t>
            </w:r>
          </w:p>
          <w:p w:rsidR="00000000" w:rsidRPr="006D2751" w:rsidP="006D2751">
            <w:pPr>
              <w:pStyle w:val="ListBullet2"/>
            </w:pPr>
            <w:r w:rsidRPr="006D2751">
              <w:t>armature windings</w:t>
            </w:r>
          </w:p>
          <w:p w:rsidR="00000000" w:rsidRPr="006D2751" w:rsidP="006D2751">
            <w:pPr>
              <w:pStyle w:val="ListBullet2"/>
            </w:pPr>
            <w:r w:rsidRPr="006D2751">
              <w:t>induction coils</w:t>
            </w:r>
          </w:p>
          <w:p w:rsidR="00000000" w:rsidRPr="006D2751" w:rsidP="006D2751">
            <w:pPr>
              <w:pStyle w:val="ListBullet2"/>
            </w:pPr>
            <w:r w:rsidRPr="006D2751">
              <w:t>solenoid</w:t>
            </w:r>
          </w:p>
          <w:p w:rsidR="00000000" w:rsidRPr="006D2751" w:rsidP="006D2751">
            <w:pPr>
              <w:pStyle w:val="ListBullet2"/>
            </w:pPr>
            <w:r w:rsidRPr="006D2751">
              <w:t>stator windings</w:t>
            </w:r>
          </w:p>
          <w:p w:rsidR="00000000" w:rsidRPr="006D2751" w:rsidP="006D2751">
            <w:pPr>
              <w:pStyle w:val="ListBullet2"/>
            </w:pPr>
            <w:r w:rsidRPr="006D2751">
              <w:t>transformer windings</w:t>
            </w:r>
          </w:p>
          <w:p w:rsidR="00000000" w:rsidRPr="006D2751" w:rsidP="006D2751">
            <w:pPr>
              <w:pStyle w:val="ListBullet"/>
            </w:pPr>
            <w:r w:rsidRPr="006D2751">
              <w:t>methods of winding wire connection, including:</w:t>
            </w:r>
          </w:p>
          <w:p w:rsidR="00000000" w:rsidRPr="006D2751" w:rsidP="006D2751">
            <w:pPr>
              <w:pStyle w:val="ListBullet2"/>
            </w:pPr>
            <w:r w:rsidRPr="006D2751">
              <w:t>conductor preparation</w:t>
            </w:r>
          </w:p>
          <w:p w:rsidR="00000000" w:rsidRPr="006D2751" w:rsidP="006D2751">
            <w:pPr>
              <w:pStyle w:val="ListBullet2"/>
            </w:pPr>
            <w:r w:rsidRPr="006D2751">
              <w:t>fusing, including advantages, join preparation and fusing process</w:t>
            </w:r>
          </w:p>
          <w:p w:rsidR="00000000" w:rsidRPr="006D2751" w:rsidP="006D2751">
            <w:pPr>
              <w:pStyle w:val="ListBullet2"/>
            </w:pPr>
            <w:r w:rsidRPr="006D2751">
              <w:t>hard soldering - silver soldering, including advantages, types of silver soldering, wire and flux,</w:t>
            </w:r>
            <w:r w:rsidRPr="006D2751">
              <w:t xml:space="preserve"> operation and safe working procedures with the oxy acetylene welding torch, join preparation, silver soldering process and inspection</w:t>
            </w:r>
          </w:p>
          <w:p w:rsidR="00000000" w:rsidRPr="006D2751" w:rsidP="006D2751">
            <w:pPr>
              <w:pStyle w:val="ListBullet2"/>
            </w:pPr>
            <w:r w:rsidRPr="006D2751">
              <w:t>soft soldering, including types of solder, soldering irons and tips, fluxes (purpose, types and dangers), soldering proce</w:t>
            </w:r>
            <w:r w:rsidRPr="006D2751">
              <w:t>ss and inspection</w:t>
            </w:r>
          </w:p>
          <w:p w:rsidR="00000000" w:rsidRPr="006D2751" w:rsidP="006D2751">
            <w:pPr>
              <w:pStyle w:val="ListBullet"/>
            </w:pPr>
            <w:r w:rsidRPr="006D2751">
              <w:t>insulation methods</w:t>
            </w:r>
          </w:p>
          <w:p w:rsidR="00000000" w:rsidRPr="006D2751" w:rsidP="006D2751">
            <w:pPr>
              <w:pStyle w:val="ListBullet"/>
            </w:pPr>
            <w:r w:rsidRPr="006D2751">
              <w:t>techniques in insulating coils for electrical static and rotating machines, including:</w:t>
            </w:r>
          </w:p>
          <w:p w:rsidR="00000000" w:rsidRPr="006D2751" w:rsidP="006D2751">
            <w:pPr>
              <w:pStyle w:val="ListBullet2"/>
            </w:pPr>
            <w:r w:rsidRPr="006D2751">
              <w:t>methods of insulating coils</w:t>
            </w:r>
          </w:p>
          <w:p w:rsidR="00000000" w:rsidRPr="006D2751" w:rsidP="006D2751">
            <w:pPr>
              <w:pStyle w:val="ListBullet2"/>
            </w:pPr>
            <w:r w:rsidRPr="006D2751">
              <w:t>precautions</w:t>
            </w:r>
          </w:p>
          <w:p w:rsidR="00000000" w:rsidRPr="006D2751" w:rsidP="006D2751">
            <w:pPr>
              <w:pStyle w:val="ListBullet2"/>
            </w:pPr>
            <w:r w:rsidRPr="006D2751">
              <w:t>types of insulation used</w:t>
            </w:r>
          </w:p>
          <w:p w:rsidR="00000000" w:rsidRPr="006D2751" w:rsidP="006D2751">
            <w:pPr>
              <w:pStyle w:val="ListBullet"/>
            </w:pPr>
            <w:r w:rsidRPr="006D2751">
              <w:t>coil types, including:</w:t>
            </w:r>
          </w:p>
          <w:p w:rsidR="00000000" w:rsidRPr="006D2751" w:rsidP="006D2751">
            <w:pPr>
              <w:pStyle w:val="ListBullet2"/>
            </w:pPr>
            <w:r w:rsidRPr="006D2751">
              <w:t>distributed D or mush shape coil group (three phase)</w:t>
            </w:r>
          </w:p>
          <w:p w:rsidR="00000000" w:rsidRPr="006D2751" w:rsidP="006D2751">
            <w:pPr>
              <w:pStyle w:val="ListBullet2"/>
            </w:pPr>
            <w:r w:rsidRPr="006D2751">
              <w:t>distributed concentric coil group (single phase/three phase)</w:t>
            </w:r>
          </w:p>
          <w:p w:rsidR="00000000" w:rsidRPr="006D2751" w:rsidP="006D2751">
            <w:pPr>
              <w:pStyle w:val="ListBullet2"/>
            </w:pPr>
            <w:r w:rsidRPr="006D2751">
              <w:t>distributed diamond shape coil group wound as individual coils (three phase)</w:t>
            </w:r>
          </w:p>
          <w:p w:rsidR="00000000" w:rsidRPr="006D2751" w:rsidP="006D2751">
            <w:pPr>
              <w:pStyle w:val="ListBullet2"/>
            </w:pPr>
            <w:r w:rsidRPr="006D2751">
              <w:t>distributed round end (three phase)</w:t>
            </w:r>
          </w:p>
          <w:p w:rsidR="00000000" w:rsidRPr="006D2751" w:rsidP="006D2751">
            <w:pPr>
              <w:pStyle w:val="ListBullet2"/>
            </w:pPr>
            <w:r w:rsidRPr="006D2751">
              <w:t>universal motor field coils (</w:t>
            </w:r>
            <w:r w:rsidRPr="006D2751">
              <w:t>single phase)</w:t>
            </w:r>
          </w:p>
          <w:p w:rsidR="00000000" w:rsidRPr="006D2751" w:rsidP="006D2751">
            <w:pPr>
              <w:pStyle w:val="ListBullet"/>
            </w:pPr>
            <w:r w:rsidRPr="006D2751">
              <w:t>techniques in placing coils for electrical static and rotating machines, including:</w:t>
            </w:r>
          </w:p>
          <w:p w:rsidR="00000000" w:rsidRPr="006D2751" w:rsidP="006D2751">
            <w:pPr>
              <w:pStyle w:val="ListBullet2"/>
            </w:pPr>
            <w:r w:rsidRPr="006D2751">
              <w:t>coil finishing</w:t>
            </w:r>
          </w:p>
          <w:p w:rsidR="00000000" w:rsidRPr="006D2751" w:rsidP="006D2751">
            <w:pPr>
              <w:pStyle w:val="ListBullet2"/>
            </w:pPr>
            <w:r w:rsidRPr="006D2751">
              <w:t>connection for correct polarity</w:t>
            </w:r>
          </w:p>
          <w:p w:rsidR="00000000" w:rsidRPr="006D2751" w:rsidP="006D2751">
            <w:pPr>
              <w:pStyle w:val="ListBullet2"/>
            </w:pPr>
            <w:r w:rsidRPr="006D2751">
              <w:t>electrical testing</w:t>
            </w:r>
          </w:p>
          <w:p w:rsidR="00000000" w:rsidRPr="006D2751" w:rsidP="006D2751">
            <w:pPr>
              <w:pStyle w:val="ListBullet2"/>
            </w:pPr>
            <w:r w:rsidRPr="006D2751">
              <w:t>insertion into slots</w:t>
            </w:r>
          </w:p>
          <w:p w:rsidR="00000000" w:rsidRPr="006D2751" w:rsidP="006D2751">
            <w:pPr>
              <w:pStyle w:val="ListBullet2"/>
            </w:pPr>
            <w:r w:rsidRPr="006D2751">
              <w:t>manufacture for universal field coils</w:t>
            </w:r>
          </w:p>
          <w:p w:rsidR="00000000" w:rsidRPr="006D2751" w:rsidP="006D2751">
            <w:pPr>
              <w:pStyle w:val="ListBullet2"/>
            </w:pPr>
            <w:r w:rsidRPr="006D2751">
              <w:t>record data</w:t>
            </w:r>
          </w:p>
          <w:p w:rsidR="00000000" w:rsidRPr="006D2751" w:rsidP="006D2751">
            <w:pPr>
              <w:pStyle w:val="ListBullet2"/>
            </w:pPr>
            <w:r w:rsidRPr="006D2751">
              <w:t>taping (where appli</w:t>
            </w:r>
            <w:r w:rsidRPr="006D2751">
              <w:t>cable)</w:t>
            </w:r>
          </w:p>
          <w:p w:rsidR="00000000" w:rsidRPr="006D2751" w:rsidP="006D2751">
            <w:pPr>
              <w:pStyle w:val="ListBullet"/>
            </w:pPr>
            <w:r w:rsidRPr="006D2751">
              <w:t>electrical inspecting and testing regulations, industry standards and workplace procedures</w:t>
            </w:r>
          </w:p>
          <w:p w:rsidR="00000000" w:rsidRPr="006D2751" w:rsidP="006D2751">
            <w:pPr>
              <w:pStyle w:val="ListBullet"/>
            </w:pPr>
            <w:r w:rsidRPr="006D2751">
              <w:t>relevant job safety assessments or risk mitigation processes</w:t>
            </w:r>
          </w:p>
          <w:p w:rsidR="00000000" w:rsidRPr="006D2751" w:rsidP="006D2751">
            <w:pPr>
              <w:pStyle w:val="ListBullet"/>
            </w:pPr>
            <w:r w:rsidRPr="006D2751">
              <w:t>relevant manufacturer specifications</w:t>
            </w:r>
          </w:p>
          <w:p w:rsidR="00000000" w:rsidRPr="006D2751" w:rsidP="006D2751">
            <w:pPr>
              <w:pStyle w:val="ListBullet"/>
            </w:pPr>
            <w:r w:rsidRPr="006D2751">
              <w:t>relevant WHS/OHS legislated requirements</w:t>
            </w:r>
          </w:p>
          <w:p w:rsidR="00000000" w:rsidRPr="006D2751" w:rsidP="006D2751">
            <w:pPr>
              <w:pStyle w:val="ListBullet"/>
            </w:pPr>
            <w:r w:rsidRPr="006D2751">
              <w:t>relevant workplace documentation</w:t>
            </w:r>
          </w:p>
          <w:p w:rsidR="00000000" w:rsidRPr="006D2751" w:rsidP="006D2751">
            <w:pPr>
              <w:pStyle w:val="ListBullet"/>
            </w:pPr>
            <w:r w:rsidRPr="006D2751">
              <w:t>relevant workplace policies and procedures</w:t>
            </w:r>
          </w:p>
          <w:p w:rsidR="00000000" w:rsidRPr="006D2751" w:rsidP="006D2751">
            <w:pPr>
              <w:pStyle w:val="ListBullet"/>
            </w:pPr>
            <w:r w:rsidRPr="006D2751">
              <w:t>sustainable energy principles and practices.</w:t>
            </w:r>
          </w:p>
        </w:tc>
      </w:tr>
    </w:tbl>
    <w:p w:rsidR="00000000" w:rsidRPr="006D2751" w:rsidP="006D2751">
      <w:pPr>
        <w:pStyle w:val="NoPaddingFontSize1"/>
      </w:pPr>
    </w:p>
    <w:p w:rsidR="00000000" w:rsidRPr="006D2751" w:rsidP="006D2751">
      <w:pPr>
        <w:pStyle w:val="AllowPageBreak"/>
      </w:pPr>
    </w:p>
    <w:p w:rsidR="00000000" w:rsidRPr="006D2751" w:rsidP="006D2751">
      <w:pPr>
        <w:pStyle w:val="Heading1"/>
      </w:pPr>
      <w:bookmarkStart w:id="4" w:name="O_1104514"/>
      <w:bookmarkEnd w:id="4"/>
      <w:r w:rsidRPr="006D2751">
        <w:t>Assessment Conditions</w:t>
      </w:r>
    </w:p>
    <w:tbl>
      <w:tblPr>
        <w:tblW w:w="9497" w:type="dxa"/>
        <w:tblLayout w:type="fixed"/>
        <w:tblCellMar>
          <w:left w:w="62" w:type="dxa"/>
          <w:right w:w="62" w:type="dxa"/>
        </w:tblCellMar>
        <w:tblLook w:val="0000"/>
      </w:tblPr>
      <w:tblGrid>
        <w:gridCol w:w="9497"/>
      </w:tblGrid>
      <w:tr w:rsidTr="006D2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751" w:rsidP="006D2751">
            <w:pPr>
              <w:pStyle w:val="BodyText"/>
            </w:pPr>
            <w:r w:rsidRPr="006D2751">
              <w:t xml:space="preserve">Assessors must hold credentials specified within the Standards for Registered Training Organisations current at the time of assessment. </w:t>
            </w:r>
          </w:p>
          <w:p w:rsidR="00000000" w:rsidRPr="006D2751" w:rsidP="006D2751">
            <w:pPr>
              <w:pStyle w:val="BodyText"/>
            </w:pPr>
            <w:r w:rsidRPr="006D2751">
              <w:t>Assessment must satisfy the Principles of Assessment and Rules of Evidence and all regulatory requirements included wit</w:t>
            </w:r>
            <w:r w:rsidRPr="006D2751">
              <w:t>hin the Standards for Registered Training Organisations current at the time of assessment.</w:t>
            </w:r>
          </w:p>
          <w:p w:rsidR="00000000" w:rsidRPr="006D2751" w:rsidP="006D2751">
            <w:pPr>
              <w:pStyle w:val="BodyText"/>
            </w:pPr>
            <w:r w:rsidRPr="006D2751">
              <w:t>Assessment must occur in suitable workplace operational situations where it is appropriate to do so; where this is not appropriate, assessment must occur in suitable</w:t>
            </w:r>
            <w:r w:rsidRPr="006D2751">
              <w:t xml:space="preserve"> simulated workplace operational situations that replicate workplace conditions.</w:t>
            </w:r>
          </w:p>
          <w:p w:rsidR="00000000" w:rsidRPr="006D2751" w:rsidP="006D2751">
            <w:pPr>
              <w:pStyle w:val="BodyText"/>
            </w:pPr>
            <w:r w:rsidRPr="006D2751">
              <w:t>Assessment processes and techniques must be appropriate to the language, literacy and numeracy requirements of the work being performed and the needs of the candidate.</w:t>
            </w:r>
          </w:p>
          <w:p w:rsidR="00000000" w:rsidRPr="006D2751" w:rsidP="006D2751">
            <w:pPr>
              <w:pStyle w:val="BodyText"/>
            </w:pPr>
            <w:r w:rsidRPr="006D2751">
              <w:t>Resourc</w:t>
            </w:r>
            <w:r w:rsidRPr="006D2751">
              <w:t>es for assessment must include access to:</w:t>
            </w:r>
          </w:p>
          <w:p w:rsidR="00000000" w:rsidRPr="006D2751" w:rsidP="006D2751">
            <w:pPr>
              <w:pStyle w:val="ListBullet"/>
            </w:pPr>
            <w:r w:rsidRPr="006D2751">
              <w:t>a range of relevant exercises, case studies and/or other simulations</w:t>
            </w:r>
          </w:p>
          <w:p w:rsidR="00000000" w:rsidRPr="006D2751" w:rsidP="006D2751">
            <w:pPr>
              <w:pStyle w:val="ListBullet"/>
            </w:pPr>
            <w:r w:rsidRPr="006D2751">
              <w:t xml:space="preserve">relevant and appropriate materials, tools, facilities, equipment and personal protective equipment (PPE) currently used in industry </w:t>
            </w:r>
          </w:p>
          <w:p w:rsidR="00000000" w:rsidRPr="006D2751" w:rsidP="006D2751">
            <w:pPr>
              <w:pStyle w:val="ListBullet"/>
            </w:pPr>
            <w:r w:rsidRPr="006D2751">
              <w:t>resources t</w:t>
            </w:r>
            <w:r w:rsidRPr="006D2751">
              <w:t>hat reflect current industry practices in relation to placing and connecting electrical coils</w:t>
            </w:r>
          </w:p>
          <w:p w:rsidR="00000000" w:rsidRPr="006D2751" w:rsidP="006D2751">
            <w:pPr>
              <w:pStyle w:val="ListBullet"/>
            </w:pPr>
            <w:r w:rsidRPr="006D2751">
              <w:t>applicable documentation, including workplace procedures, equipment specifications, regulations, relevant industry standards, codes of practice and operation manu</w:t>
            </w:r>
            <w:r w:rsidRPr="006D2751">
              <w:t>als.</w:t>
            </w:r>
          </w:p>
        </w:tc>
      </w:tr>
    </w:tbl>
    <w:p w:rsidR="00000000" w:rsidRPr="006D2751" w:rsidP="006D2751">
      <w:pPr>
        <w:pStyle w:val="NoPaddingFontSize1"/>
      </w:pPr>
    </w:p>
    <w:p w:rsidR="00000000" w:rsidRPr="006D2751" w:rsidP="006D2751">
      <w:pPr>
        <w:pStyle w:val="AllowPageBreak"/>
      </w:pPr>
    </w:p>
    <w:p w:rsidR="00000000" w:rsidRPr="006D2751" w:rsidP="006D2751">
      <w:pPr>
        <w:pStyle w:val="Heading1"/>
      </w:pPr>
      <w:bookmarkStart w:id="5" w:name="O_1104517"/>
      <w:bookmarkEnd w:id="5"/>
      <w:r w:rsidRPr="006D2751">
        <w:t>Links</w:t>
      </w:r>
    </w:p>
    <w:p w:rsidR="00000000" w:rsidRPr="006D2751" w:rsidP="009F651E">
      <w:pPr>
        <w:pStyle w:val="BodyText"/>
      </w:pPr>
      <w:r w:rsidRPr="006D275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41B9">
        <w:rPr>
          <w:rStyle w:val="Hyperlink"/>
        </w:rPr>
        <w:t>https://vetnet.gov.au/Pages/TrainingDocs.aspx?q=b8a8f136-5421-4ce1-92e0-2b50341431b6</w:t>
      </w:r>
      <w:r>
        <w:fldChar w:fldCharType="end"/>
      </w:r>
    </w:p>
    <w:p w:rsidR="00000000" w:rsidRPr="006D2751" w:rsidP="006D2751"/>
    <w:sectPr w:rsidSect="006D27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51" w:rsidRPr="009F651E" w:rsidP="009F6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1E" w:rsidP="006D2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51E" w:rsidP="006D27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651E" w:rsidP="006D2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751" w:rsidRPr="009F651E" w:rsidP="009F6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1E" w:rsidRPr="002D2AF8" w:rsidP="006D2751">
    <w:pPr>
      <w:pStyle w:val="Header"/>
      <w:framePr w:wrap="around"/>
    </w:pPr>
    <w:r>
      <w:fldChar w:fldCharType="begin"/>
    </w:r>
    <w:r>
      <w:instrText xml:space="preserve"> TITLE   \* MERGEFORMAT </w:instrText>
    </w:r>
    <w:r>
      <w:fldChar w:fldCharType="separate"/>
    </w:r>
    <w:r>
      <w:t>Assessment Requirements for UEEEL0056 Place and connect electrical coils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F651E" w:rsidP="006D2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2A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80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62E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751"/>
    <w:pPr>
      <w:spacing w:before="360" w:after="60"/>
      <w:outlineLvl w:val="0"/>
    </w:pPr>
    <w:rPr>
      <w:sz w:val="32"/>
    </w:rPr>
  </w:style>
  <w:style w:type="paragraph" w:styleId="Heading2">
    <w:name w:val="heading 2"/>
    <w:basedOn w:val="HeadingBase"/>
    <w:next w:val="BodyText"/>
    <w:link w:val="Heading2Char"/>
    <w:qFormat/>
    <w:rsid w:val="006D2751"/>
    <w:pPr>
      <w:keepLines/>
      <w:spacing w:before="240" w:after="120"/>
      <w:outlineLvl w:val="1"/>
    </w:pPr>
    <w:rPr>
      <w:sz w:val="28"/>
      <w:szCs w:val="40"/>
    </w:rPr>
  </w:style>
  <w:style w:type="paragraph" w:styleId="Heading3">
    <w:name w:val="heading 3"/>
    <w:basedOn w:val="HeadingBase"/>
    <w:next w:val="BodyText"/>
    <w:link w:val="Heading3Char"/>
    <w:qFormat/>
    <w:rsid w:val="006D2751"/>
    <w:pPr>
      <w:spacing w:before="180" w:after="120"/>
      <w:outlineLvl w:val="2"/>
    </w:pPr>
    <w:rPr>
      <w:spacing w:val="-10"/>
      <w:kern w:val="32"/>
    </w:rPr>
  </w:style>
  <w:style w:type="paragraph" w:styleId="Heading4">
    <w:name w:val="heading 4"/>
    <w:basedOn w:val="HeadingBase"/>
    <w:next w:val="BodyText"/>
    <w:link w:val="Heading4Char"/>
    <w:qFormat/>
    <w:rsid w:val="006D2751"/>
    <w:pPr>
      <w:spacing w:before="160" w:after="120"/>
      <w:outlineLvl w:val="3"/>
    </w:pPr>
    <w:rPr>
      <w:sz w:val="22"/>
    </w:rPr>
  </w:style>
  <w:style w:type="paragraph" w:styleId="Heading5">
    <w:name w:val="heading 5"/>
    <w:basedOn w:val="HeadingBase"/>
    <w:next w:val="Normal"/>
    <w:link w:val="Heading5Char"/>
    <w:qFormat/>
    <w:rsid w:val="006D2751"/>
    <w:pPr>
      <w:spacing w:before="80"/>
      <w:outlineLvl w:val="4"/>
    </w:pPr>
    <w:rPr>
      <w:color w:val="918585"/>
      <w:sz w:val="20"/>
    </w:rPr>
  </w:style>
  <w:style w:type="paragraph" w:styleId="Heading6">
    <w:name w:val="heading 6"/>
    <w:basedOn w:val="HeadingBase"/>
    <w:next w:val="Normal"/>
    <w:link w:val="Heading6Char"/>
    <w:qFormat/>
    <w:rsid w:val="006D2751"/>
    <w:pPr>
      <w:spacing w:before="60"/>
      <w:outlineLvl w:val="5"/>
    </w:pPr>
    <w:rPr>
      <w:color w:val="918585"/>
      <w:sz w:val="20"/>
    </w:rPr>
  </w:style>
  <w:style w:type="paragraph" w:styleId="Heading7">
    <w:name w:val="heading 7"/>
    <w:basedOn w:val="Normal"/>
    <w:next w:val="Normal"/>
    <w:link w:val="Heading7Char"/>
    <w:qFormat/>
    <w:rsid w:val="006D2751"/>
    <w:pPr>
      <w:ind w:left="720"/>
      <w:outlineLvl w:val="6"/>
    </w:pPr>
    <w:rPr>
      <w:i/>
    </w:rPr>
  </w:style>
  <w:style w:type="paragraph" w:styleId="Heading8">
    <w:name w:val="heading 8"/>
    <w:basedOn w:val="Normal"/>
    <w:next w:val="Normal"/>
    <w:link w:val="Heading8Char"/>
    <w:qFormat/>
    <w:rsid w:val="006D2751"/>
    <w:pPr>
      <w:ind w:left="720"/>
      <w:outlineLvl w:val="7"/>
    </w:pPr>
    <w:rPr>
      <w:i/>
    </w:rPr>
  </w:style>
  <w:style w:type="paragraph" w:styleId="Heading9">
    <w:name w:val="heading 9"/>
    <w:basedOn w:val="Normal"/>
    <w:next w:val="Normal"/>
    <w:link w:val="Heading9Char"/>
    <w:qFormat/>
    <w:rsid w:val="006D2751"/>
    <w:pPr>
      <w:ind w:left="720"/>
      <w:outlineLvl w:val="8"/>
    </w:pPr>
    <w:rPr>
      <w:i/>
    </w:rPr>
  </w:style>
  <w:style w:type="character" w:default="1" w:styleId="DefaultParagraphFont">
    <w:name w:val="Default Paragraph Font"/>
    <w:uiPriority w:val="1"/>
    <w:unhideWhenUsed/>
    <w:rsid w:val="006D2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751"/>
  </w:style>
  <w:style w:type="character" w:customStyle="1" w:styleId="Heading1Char">
    <w:name w:val="Heading 1 Char"/>
    <w:basedOn w:val="DefaultParagraphFont"/>
    <w:link w:val="Heading1"/>
    <w:rsid w:val="006D2751"/>
    <w:rPr>
      <w:rFonts w:ascii="Times New Roman" w:eastAsia="Times New Roman" w:hAnsi="Times New Roman" w:cs="Times New Roman"/>
      <w:b/>
      <w:sz w:val="32"/>
      <w:szCs w:val="20"/>
      <w:lang w:eastAsia="en-US"/>
    </w:rPr>
  </w:style>
  <w:style w:type="paragraph" w:styleId="BodyText">
    <w:name w:val="Body Text"/>
    <w:basedOn w:val="Normal"/>
    <w:link w:val="BodyTextChar"/>
    <w:rsid w:val="006D2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751"/>
    <w:rPr>
      <w:rFonts w:ascii="Times New Roman" w:eastAsia="Times New Roman" w:hAnsi="Times New Roman" w:cs="Times New Roman"/>
      <w:sz w:val="24"/>
      <w:lang w:eastAsia="en-US"/>
    </w:rPr>
  </w:style>
  <w:style w:type="paragraph" w:styleId="ListBullet">
    <w:name w:val="List Bullet"/>
    <w:basedOn w:val="List"/>
    <w:rsid w:val="006D2751"/>
    <w:pPr>
      <w:numPr>
        <w:numId w:val="12"/>
      </w:numPr>
      <w:tabs>
        <w:tab w:val="clear" w:pos="340"/>
      </w:tabs>
      <w:spacing w:before="40" w:after="40"/>
    </w:pPr>
  </w:style>
  <w:style w:type="paragraph" w:styleId="ListBullet2">
    <w:name w:val="List Bullet 2"/>
    <w:basedOn w:val="List2"/>
    <w:rsid w:val="006D2751"/>
    <w:pPr>
      <w:numPr>
        <w:numId w:val="13"/>
      </w:numPr>
      <w:tabs>
        <w:tab w:val="clear" w:pos="680"/>
      </w:tabs>
    </w:pPr>
  </w:style>
  <w:style w:type="paragraph" w:customStyle="1" w:styleId="SuperHeading">
    <w:name w:val="SuperHeading"/>
    <w:basedOn w:val="Normal"/>
    <w:rsid w:val="006D2751"/>
    <w:pPr>
      <w:spacing w:before="240" w:after="120"/>
      <w:outlineLvl w:val="0"/>
    </w:pPr>
    <w:rPr>
      <w:rFonts w:ascii="Times New Roman" w:hAnsi="Times New Roman"/>
      <w:b/>
      <w:sz w:val="32"/>
    </w:rPr>
  </w:style>
  <w:style w:type="paragraph" w:customStyle="1" w:styleId="AllowPageBreak">
    <w:name w:val="AllowPageBreak"/>
    <w:rsid w:val="006D27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2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751"/>
    <w:rPr>
      <w:rFonts w:ascii="Courier New" w:eastAsia="Times New Roman" w:hAnsi="Courier New" w:cs="Times New Roman"/>
      <w:i/>
      <w:szCs w:val="20"/>
      <w:lang w:eastAsia="en-US"/>
    </w:rPr>
  </w:style>
  <w:style w:type="paragraph" w:customStyle="1" w:styleId="HeadingBase">
    <w:name w:val="Heading Base"/>
    <w:rsid w:val="006D2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751"/>
    <w:pPr>
      <w:tabs>
        <w:tab w:val="right" w:leader="dot" w:pos="9072"/>
      </w:tabs>
      <w:ind w:left="567"/>
    </w:pPr>
    <w:rPr>
      <w:szCs w:val="22"/>
    </w:rPr>
  </w:style>
  <w:style w:type="paragraph" w:customStyle="1" w:styleId="TOCBase">
    <w:name w:val="TOC Base"/>
    <w:rsid w:val="006D2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751"/>
    <w:pPr>
      <w:tabs>
        <w:tab w:val="right" w:leader="dot" w:pos="9072"/>
      </w:tabs>
      <w:spacing w:before="40" w:after="40"/>
      <w:ind w:left="284"/>
    </w:pPr>
    <w:rPr>
      <w:rFonts w:ascii="Times New Roman" w:hAnsi="Times New Roman"/>
    </w:rPr>
  </w:style>
  <w:style w:type="paragraph" w:styleId="TOC1">
    <w:name w:val="toc 1"/>
    <w:basedOn w:val="TOCBase"/>
    <w:next w:val="Normal"/>
    <w:rsid w:val="006D2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751"/>
    <w:rPr>
      <w:rFonts w:ascii="Times New Roman" w:eastAsia="Times New Roman" w:hAnsi="Times New Roman" w:cs="Times New Roman"/>
      <w:sz w:val="16"/>
      <w:lang w:eastAsia="en-US"/>
    </w:rPr>
  </w:style>
  <w:style w:type="paragraph" w:styleId="Title">
    <w:name w:val="Title"/>
    <w:basedOn w:val="HeadingBase"/>
    <w:link w:val="TitleChar"/>
    <w:qFormat/>
    <w:rsid w:val="006D2751"/>
    <w:pPr>
      <w:spacing w:before="5040"/>
      <w:jc w:val="center"/>
    </w:pPr>
    <w:rPr>
      <w:sz w:val="48"/>
      <w:szCs w:val="72"/>
      <w:lang w:val="en-US"/>
    </w:rPr>
  </w:style>
  <w:style w:type="character" w:customStyle="1" w:styleId="TitleChar">
    <w:name w:val="Title Char"/>
    <w:basedOn w:val="DefaultParagraphFont"/>
    <w:link w:val="Title"/>
    <w:rsid w:val="006D2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751"/>
    <w:pPr>
      <w:tabs>
        <w:tab w:val="left" w:pos="3600"/>
        <w:tab w:val="left" w:pos="3958"/>
      </w:tabs>
    </w:pPr>
  </w:style>
  <w:style w:type="paragraph" w:styleId="List">
    <w:name w:val="List"/>
    <w:basedOn w:val="BodyText"/>
    <w:next w:val="BodyText"/>
    <w:rsid w:val="006D2751"/>
    <w:pPr>
      <w:tabs>
        <w:tab w:val="left" w:pos="340"/>
      </w:tabs>
      <w:spacing w:before="60" w:after="60"/>
      <w:ind w:left="340" w:hanging="340"/>
    </w:pPr>
  </w:style>
  <w:style w:type="paragraph" w:customStyle="1" w:styleId="Note">
    <w:name w:val="Note"/>
    <w:basedOn w:val="BodyText"/>
    <w:rsid w:val="006D27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2751"/>
    <w:rPr>
      <w:b/>
      <w:spacing w:val="0"/>
    </w:rPr>
  </w:style>
  <w:style w:type="paragraph" w:customStyle="1" w:styleId="SuperTitle">
    <w:name w:val="SuperTitle"/>
    <w:basedOn w:val="Title"/>
    <w:rsid w:val="006D2751"/>
    <w:pPr>
      <w:framePr w:wrap="auto" w:hAnchor="text" w:y="6049"/>
    </w:pPr>
    <w:rPr>
      <w:color w:val="000000"/>
      <w:sz w:val="40"/>
    </w:rPr>
  </w:style>
  <w:style w:type="paragraph" w:customStyle="1" w:styleId="TOCTitle">
    <w:name w:val="TOCTitle"/>
    <w:basedOn w:val="Heading1"/>
    <w:rsid w:val="006D2751"/>
    <w:pPr>
      <w:spacing w:after="240"/>
      <w:jc w:val="center"/>
      <w:outlineLvl w:val="9"/>
    </w:pPr>
    <w:rPr>
      <w:caps/>
    </w:rPr>
  </w:style>
  <w:style w:type="paragraph" w:customStyle="1" w:styleId="Version">
    <w:name w:val="Version"/>
    <w:rsid w:val="006D2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751"/>
    <w:pPr>
      <w:keepNext w:val="0"/>
      <w:tabs>
        <w:tab w:val="right" w:pos="4176"/>
      </w:tabs>
      <w:ind w:left="198" w:hanging="198"/>
    </w:pPr>
    <w:rPr>
      <w:rFonts w:ascii="Garamond" w:hAnsi="Garamond"/>
    </w:rPr>
  </w:style>
  <w:style w:type="paragraph" w:styleId="IndexHeading">
    <w:name w:val="index heading"/>
    <w:basedOn w:val="Normal"/>
    <w:next w:val="Index1"/>
    <w:semiHidden/>
    <w:rsid w:val="006D2751"/>
    <w:pPr>
      <w:spacing w:before="120" w:after="120"/>
    </w:pPr>
    <w:rPr>
      <w:rFonts w:ascii="Arial" w:hAnsi="Arial"/>
      <w:b/>
      <w:color w:val="918585"/>
      <w:sz w:val="24"/>
    </w:rPr>
  </w:style>
  <w:style w:type="paragraph" w:styleId="Header">
    <w:name w:val="header"/>
    <w:basedOn w:val="Normal"/>
    <w:link w:val="HeaderChar"/>
    <w:rsid w:val="006D2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751"/>
    <w:rPr>
      <w:rFonts w:ascii="Times New Roman" w:eastAsia="Times New Roman" w:hAnsi="Times New Roman" w:cs="Times New Roman"/>
      <w:sz w:val="16"/>
      <w:szCs w:val="20"/>
      <w:lang w:val="en-GB" w:eastAsia="en-US"/>
    </w:rPr>
  </w:style>
  <w:style w:type="paragraph" w:customStyle="1" w:styleId="Chapter">
    <w:name w:val="Chapter"/>
    <w:basedOn w:val="Normal"/>
    <w:rsid w:val="006D2751"/>
    <w:pPr>
      <w:spacing w:before="240"/>
    </w:pPr>
    <w:rPr>
      <w:rFonts w:ascii="Times New Roman" w:hAnsi="Times New Roman"/>
      <w:smallCaps/>
      <w:spacing w:val="80"/>
      <w:sz w:val="28"/>
    </w:rPr>
  </w:style>
  <w:style w:type="paragraph" w:customStyle="1" w:styleId="InChapter">
    <w:name w:val="InChapter"/>
    <w:basedOn w:val="Heading3"/>
    <w:rsid w:val="006D2751"/>
    <w:pPr>
      <w:spacing w:after="240"/>
      <w:outlineLvl w:val="9"/>
    </w:pPr>
    <w:rPr>
      <w:noProof/>
    </w:rPr>
  </w:style>
  <w:style w:type="paragraph" w:styleId="Index2">
    <w:name w:val="index 2"/>
    <w:basedOn w:val="Normal"/>
    <w:next w:val="Normal"/>
    <w:semiHidden/>
    <w:rsid w:val="006D2751"/>
    <w:pPr>
      <w:tabs>
        <w:tab w:val="right" w:pos="4176"/>
      </w:tabs>
      <w:ind w:left="568" w:hanging="284"/>
    </w:pPr>
    <w:rPr>
      <w:rFonts w:ascii="Garamond" w:hAnsi="Garamond"/>
    </w:rPr>
  </w:style>
  <w:style w:type="paragraph" w:customStyle="1" w:styleId="Byline">
    <w:name w:val="Byline"/>
    <w:rsid w:val="006D2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751"/>
    <w:pPr>
      <w:tabs>
        <w:tab w:val="clear" w:pos="3600"/>
        <w:tab w:val="clear" w:pos="3958"/>
      </w:tabs>
      <w:jc w:val="right"/>
    </w:pPr>
  </w:style>
  <w:style w:type="character" w:styleId="Emphasis">
    <w:name w:val="Emphasis"/>
    <w:basedOn w:val="DefaultParagraphFont"/>
    <w:qFormat/>
    <w:rsid w:val="006D2751"/>
    <w:rPr>
      <w:i/>
    </w:rPr>
  </w:style>
  <w:style w:type="paragraph" w:styleId="Caption">
    <w:name w:val="caption"/>
    <w:basedOn w:val="BodyText"/>
    <w:next w:val="Normal"/>
    <w:qFormat/>
    <w:rsid w:val="006D2751"/>
    <w:pPr>
      <w:framePr w:w="2268" w:hSpace="181" w:vSpace="181" w:wrap="around" w:vAnchor="text" w:hAnchor="page" w:x="1135" w:y="285" w:anchorLock="1"/>
    </w:pPr>
    <w:rPr>
      <w:i/>
    </w:rPr>
  </w:style>
  <w:style w:type="paragraph" w:customStyle="1" w:styleId="MiniTOCTitle">
    <w:name w:val="MiniTOCTitle"/>
    <w:basedOn w:val="Heading4"/>
    <w:rsid w:val="006D2751"/>
    <w:pPr>
      <w:spacing w:before="240"/>
      <w:outlineLvl w:val="9"/>
    </w:pPr>
    <w:rPr>
      <w:noProof/>
      <w:sz w:val="24"/>
    </w:rPr>
  </w:style>
  <w:style w:type="paragraph" w:customStyle="1" w:styleId="MiniTOCItem">
    <w:name w:val="MiniTOCItem"/>
    <w:basedOn w:val="ListBullet"/>
    <w:rsid w:val="006D2751"/>
    <w:pPr>
      <w:numPr>
        <w:numId w:val="0"/>
      </w:numPr>
      <w:tabs>
        <w:tab w:val="right" w:leader="dot" w:pos="6521"/>
      </w:tabs>
      <w:spacing w:before="0" w:after="0"/>
    </w:pPr>
  </w:style>
  <w:style w:type="paragraph" w:customStyle="1" w:styleId="TOFTitle">
    <w:name w:val="TOFTitle"/>
    <w:basedOn w:val="TOCTitle"/>
    <w:rsid w:val="006D2751"/>
  </w:style>
  <w:style w:type="paragraph" w:styleId="TableofFigures">
    <w:name w:val="table of figures"/>
    <w:basedOn w:val="Normal"/>
    <w:next w:val="Normal"/>
    <w:semiHidden/>
    <w:rsid w:val="006D2751"/>
    <w:pPr>
      <w:tabs>
        <w:tab w:val="right" w:leader="dot" w:pos="9072"/>
      </w:tabs>
      <w:ind w:left="970" w:hanging="403"/>
    </w:pPr>
    <w:rPr>
      <w:rFonts w:ascii="Times New Roman" w:hAnsi="Times New Roman"/>
      <w:b/>
    </w:rPr>
  </w:style>
  <w:style w:type="paragraph" w:styleId="ListNumber">
    <w:name w:val="List Number"/>
    <w:basedOn w:val="List"/>
    <w:rsid w:val="006D2751"/>
    <w:pPr>
      <w:numPr>
        <w:numId w:val="15"/>
      </w:numPr>
      <w:tabs>
        <w:tab w:val="clear" w:pos="340"/>
      </w:tabs>
    </w:pPr>
  </w:style>
  <w:style w:type="character" w:customStyle="1" w:styleId="WingdingSymbols">
    <w:name w:val="Wingding Symbols"/>
    <w:rsid w:val="006D2751"/>
    <w:rPr>
      <w:rFonts w:ascii="Wingdings" w:hAnsi="Wingdings"/>
    </w:rPr>
  </w:style>
  <w:style w:type="paragraph" w:customStyle="1" w:styleId="TableHeading">
    <w:name w:val="Table Heading"/>
    <w:basedOn w:val="HeadingBase"/>
    <w:rsid w:val="006D2751"/>
    <w:pPr>
      <w:keepLines/>
      <w:pBdr>
        <w:bottom w:val="single" w:sz="6" w:space="1" w:color="918585"/>
      </w:pBdr>
      <w:spacing w:before="240"/>
    </w:pPr>
  </w:style>
  <w:style w:type="character" w:customStyle="1" w:styleId="HotSpot">
    <w:name w:val="HotSpot"/>
    <w:rsid w:val="006D2751"/>
    <w:rPr>
      <w:color w:val="0033CC"/>
      <w:u w:val="none"/>
    </w:rPr>
  </w:style>
  <w:style w:type="paragraph" w:customStyle="1" w:styleId="BodyTextRight">
    <w:name w:val="Body Text Right"/>
    <w:basedOn w:val="BodyText"/>
    <w:rsid w:val="006D2751"/>
    <w:pPr>
      <w:spacing w:before="0" w:after="0"/>
      <w:jc w:val="right"/>
    </w:pPr>
  </w:style>
  <w:style w:type="paragraph" w:styleId="Index3">
    <w:name w:val="index 3"/>
    <w:basedOn w:val="ListNumber2"/>
    <w:next w:val="Normal"/>
    <w:semiHidden/>
    <w:rsid w:val="006D2751"/>
    <w:pPr>
      <w:numPr>
        <w:numId w:val="0"/>
      </w:numPr>
      <w:tabs>
        <w:tab w:val="right" w:leader="dot" w:pos="4176"/>
      </w:tabs>
    </w:pPr>
  </w:style>
  <w:style w:type="paragraph" w:styleId="ListNumber2">
    <w:name w:val="List Number 2"/>
    <w:basedOn w:val="List2"/>
    <w:rsid w:val="006D2751"/>
    <w:pPr>
      <w:numPr>
        <w:numId w:val="10"/>
      </w:numPr>
      <w:tabs>
        <w:tab w:val="clear" w:pos="1060"/>
      </w:tabs>
    </w:pPr>
  </w:style>
  <w:style w:type="paragraph" w:customStyle="1" w:styleId="MarginNote">
    <w:name w:val="Margin Note"/>
    <w:basedOn w:val="BodyText"/>
    <w:rsid w:val="006D2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751"/>
    <w:rPr>
      <w:sz w:val="32"/>
    </w:rPr>
  </w:style>
  <w:style w:type="paragraph" w:customStyle="1" w:styleId="HeadingProcedure">
    <w:name w:val="Heading Procedure"/>
    <w:basedOn w:val="HeadingBase"/>
    <w:next w:val="Normal"/>
    <w:rsid w:val="006D2751"/>
    <w:pPr>
      <w:tabs>
        <w:tab w:val="left" w:pos="0"/>
      </w:tabs>
      <w:spacing w:before="120" w:after="60"/>
    </w:pPr>
    <w:rPr>
      <w:i/>
      <w:color w:val="918585"/>
      <w:sz w:val="22"/>
    </w:rPr>
  </w:style>
  <w:style w:type="paragraph" w:customStyle="1" w:styleId="TableBodyText">
    <w:name w:val="Table Body Text"/>
    <w:basedOn w:val="BodyText"/>
    <w:rsid w:val="006D2751"/>
    <w:pPr>
      <w:spacing w:before="60" w:after="60"/>
    </w:pPr>
  </w:style>
  <w:style w:type="paragraph" w:styleId="ListContinue">
    <w:name w:val="List Continue"/>
    <w:basedOn w:val="List"/>
    <w:rsid w:val="006D2751"/>
    <w:pPr>
      <w:ind w:firstLine="0"/>
    </w:pPr>
  </w:style>
  <w:style w:type="paragraph" w:customStyle="1" w:styleId="ListNote">
    <w:name w:val="List Note"/>
    <w:basedOn w:val="List"/>
    <w:rsid w:val="006D2751"/>
    <w:pPr>
      <w:pBdr>
        <w:top w:val="single" w:sz="6" w:space="2" w:color="918585"/>
        <w:bottom w:val="single" w:sz="6" w:space="2" w:color="918585"/>
      </w:pBdr>
      <w:tabs>
        <w:tab w:val="left" w:pos="1021"/>
      </w:tabs>
      <w:ind w:firstLine="0"/>
    </w:pPr>
  </w:style>
  <w:style w:type="paragraph" w:customStyle="1" w:styleId="Warning">
    <w:name w:val="Warning"/>
    <w:basedOn w:val="BodyText"/>
    <w:rsid w:val="006D2751"/>
    <w:pPr>
      <w:shd w:val="clear" w:color="auto" w:fill="D9D9D9"/>
      <w:tabs>
        <w:tab w:val="left" w:pos="992"/>
      </w:tabs>
      <w:ind w:left="119" w:right="119"/>
    </w:pPr>
    <w:rPr>
      <w:sz w:val="20"/>
    </w:rPr>
  </w:style>
  <w:style w:type="paragraph" w:customStyle="1" w:styleId="MarginIcons">
    <w:name w:val="Margin Icons"/>
    <w:basedOn w:val="BodyText"/>
    <w:rsid w:val="006D2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751"/>
    <w:rPr>
      <w:rFonts w:ascii="Courier New" w:hAnsi="Courier New"/>
    </w:rPr>
  </w:style>
  <w:style w:type="paragraph" w:customStyle="1" w:styleId="NoteBullet">
    <w:name w:val="Note Bullet"/>
    <w:basedOn w:val="Note"/>
    <w:rsid w:val="006D2751"/>
    <w:pPr>
      <w:tabs>
        <w:tab w:val="clear" w:pos="680"/>
      </w:tabs>
      <w:spacing w:before="60" w:after="60"/>
    </w:pPr>
  </w:style>
  <w:style w:type="paragraph" w:customStyle="1" w:styleId="SubHeading2">
    <w:name w:val="SubHeading2"/>
    <w:basedOn w:val="HeadingBase"/>
    <w:rsid w:val="006D2751"/>
    <w:pPr>
      <w:spacing w:before="240" w:after="60"/>
    </w:pPr>
    <w:rPr>
      <w:sz w:val="20"/>
    </w:rPr>
  </w:style>
  <w:style w:type="paragraph" w:customStyle="1" w:styleId="SubHeading1">
    <w:name w:val="SubHeading1"/>
    <w:basedOn w:val="HeadingBase"/>
    <w:rsid w:val="006D2751"/>
    <w:pPr>
      <w:spacing w:before="240" w:after="60"/>
    </w:pPr>
    <w:rPr>
      <w:color w:val="918585"/>
      <w:sz w:val="22"/>
    </w:rPr>
  </w:style>
  <w:style w:type="paragraph" w:customStyle="1" w:styleId="SideHeading">
    <w:name w:val="Side Heading"/>
    <w:basedOn w:val="HeadingBase"/>
    <w:rsid w:val="006D2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751"/>
    <w:pPr>
      <w:tabs>
        <w:tab w:val="num" w:pos="360"/>
      </w:tabs>
    </w:pPr>
  </w:style>
  <w:style w:type="paragraph" w:styleId="PlainText">
    <w:name w:val="Plain Text"/>
    <w:basedOn w:val="Normal"/>
    <w:link w:val="PlainTextChar"/>
    <w:rsid w:val="006D2751"/>
    <w:rPr>
      <w:sz w:val="20"/>
    </w:rPr>
  </w:style>
  <w:style w:type="character" w:customStyle="1" w:styleId="PlainTextChar">
    <w:name w:val="Plain Text Char"/>
    <w:basedOn w:val="DefaultParagraphFont"/>
    <w:link w:val="PlainText"/>
    <w:rsid w:val="006D2751"/>
    <w:rPr>
      <w:rFonts w:ascii="Courier New" w:eastAsia="Times New Roman" w:hAnsi="Courier New" w:cs="Times New Roman"/>
      <w:sz w:val="20"/>
      <w:szCs w:val="20"/>
      <w:lang w:eastAsia="en-US"/>
    </w:rPr>
  </w:style>
  <w:style w:type="character" w:customStyle="1" w:styleId="MenuOption">
    <w:name w:val="Menu Option"/>
    <w:basedOn w:val="DefaultParagraphFont"/>
    <w:rsid w:val="006D2751"/>
    <w:rPr>
      <w:b/>
      <w:smallCaps/>
    </w:rPr>
  </w:style>
  <w:style w:type="paragraph" w:customStyle="1" w:styleId="TableListNumber">
    <w:name w:val="Table List Number"/>
    <w:basedOn w:val="ListNumber"/>
    <w:rsid w:val="006D2751"/>
    <w:pPr>
      <w:numPr>
        <w:numId w:val="0"/>
      </w:numPr>
    </w:pPr>
  </w:style>
  <w:style w:type="paragraph" w:styleId="TOC4">
    <w:name w:val="toc 4"/>
    <w:basedOn w:val="TOCBase"/>
    <w:next w:val="Normal"/>
    <w:semiHidden/>
    <w:rsid w:val="006D2751"/>
    <w:pPr>
      <w:tabs>
        <w:tab w:val="right" w:leader="dot" w:pos="9071"/>
      </w:tabs>
      <w:ind w:left="1701"/>
    </w:pPr>
  </w:style>
  <w:style w:type="paragraph" w:customStyle="1" w:styleId="ListAlpha">
    <w:name w:val="List Alpha"/>
    <w:basedOn w:val="List"/>
    <w:rsid w:val="006D2751"/>
    <w:pPr>
      <w:numPr>
        <w:numId w:val="9"/>
      </w:numPr>
    </w:pPr>
  </w:style>
  <w:style w:type="paragraph" w:customStyle="1" w:styleId="ListAlpha2">
    <w:name w:val="List Alpha 2"/>
    <w:basedOn w:val="List2"/>
    <w:rsid w:val="006D2751"/>
    <w:pPr>
      <w:numPr>
        <w:numId w:val="8"/>
      </w:numPr>
    </w:pPr>
  </w:style>
  <w:style w:type="paragraph" w:styleId="List2">
    <w:name w:val="List 2"/>
    <w:basedOn w:val="BodyText"/>
    <w:rsid w:val="006D2751"/>
    <w:pPr>
      <w:tabs>
        <w:tab w:val="left" w:pos="680"/>
      </w:tabs>
      <w:spacing w:before="60" w:after="60"/>
      <w:ind w:left="680" w:hanging="340"/>
    </w:pPr>
  </w:style>
  <w:style w:type="paragraph" w:styleId="List3">
    <w:name w:val="List 3"/>
    <w:basedOn w:val="BodyText"/>
    <w:rsid w:val="006D2751"/>
    <w:pPr>
      <w:tabs>
        <w:tab w:val="left" w:pos="1021"/>
      </w:tabs>
      <w:spacing w:before="60" w:after="60"/>
      <w:ind w:left="1020" w:hanging="340"/>
    </w:pPr>
  </w:style>
  <w:style w:type="paragraph" w:styleId="List4">
    <w:name w:val="List 4"/>
    <w:basedOn w:val="BodyText"/>
    <w:rsid w:val="006D2751"/>
    <w:pPr>
      <w:tabs>
        <w:tab w:val="left" w:pos="1361"/>
      </w:tabs>
      <w:spacing w:before="60" w:after="60"/>
      <w:ind w:left="1361" w:hanging="340"/>
    </w:pPr>
  </w:style>
  <w:style w:type="paragraph" w:styleId="List5">
    <w:name w:val="List 5"/>
    <w:basedOn w:val="BodyText"/>
    <w:rsid w:val="006D2751"/>
    <w:pPr>
      <w:tabs>
        <w:tab w:val="left" w:pos="1701"/>
      </w:tabs>
      <w:spacing w:before="60" w:after="60"/>
      <w:ind w:left="1701" w:hanging="340"/>
    </w:pPr>
  </w:style>
  <w:style w:type="paragraph" w:styleId="ListBullet3">
    <w:name w:val="List Bullet 3"/>
    <w:basedOn w:val="List3"/>
    <w:rsid w:val="006D2751"/>
    <w:pPr>
      <w:numPr>
        <w:numId w:val="14"/>
      </w:numPr>
      <w:tabs>
        <w:tab w:val="clear" w:pos="1021"/>
      </w:tabs>
      <w:ind w:left="1037" w:hanging="357"/>
    </w:pPr>
  </w:style>
  <w:style w:type="paragraph" w:styleId="ListBullet4">
    <w:name w:val="List Bullet 4"/>
    <w:basedOn w:val="List4"/>
    <w:rsid w:val="006D2751"/>
    <w:pPr>
      <w:numPr>
        <w:numId w:val="3"/>
      </w:numPr>
      <w:tabs>
        <w:tab w:val="clear" w:pos="1361"/>
      </w:tabs>
    </w:pPr>
  </w:style>
  <w:style w:type="paragraph" w:styleId="ListBullet5">
    <w:name w:val="List Bullet 5"/>
    <w:basedOn w:val="List5"/>
    <w:rsid w:val="006D2751"/>
    <w:pPr>
      <w:numPr>
        <w:numId w:val="4"/>
      </w:numPr>
    </w:pPr>
  </w:style>
  <w:style w:type="paragraph" w:styleId="ListContinue2">
    <w:name w:val="List Continue 2"/>
    <w:basedOn w:val="List2"/>
    <w:rsid w:val="006D2751"/>
    <w:pPr>
      <w:ind w:firstLine="0"/>
    </w:pPr>
  </w:style>
  <w:style w:type="paragraph" w:styleId="ListContinue3">
    <w:name w:val="List Continue 3"/>
    <w:basedOn w:val="List3"/>
    <w:rsid w:val="006D2751"/>
    <w:pPr>
      <w:ind w:left="1021" w:firstLine="0"/>
    </w:pPr>
  </w:style>
  <w:style w:type="paragraph" w:styleId="ListContinue4">
    <w:name w:val="List Continue 4"/>
    <w:basedOn w:val="List4"/>
    <w:rsid w:val="006D2751"/>
    <w:pPr>
      <w:ind w:firstLine="0"/>
    </w:pPr>
  </w:style>
  <w:style w:type="paragraph" w:styleId="ListContinue5">
    <w:name w:val="List Continue 5"/>
    <w:basedOn w:val="List5"/>
    <w:rsid w:val="006D2751"/>
    <w:pPr>
      <w:ind w:firstLine="0"/>
    </w:pPr>
  </w:style>
  <w:style w:type="paragraph" w:styleId="ListNumber3">
    <w:name w:val="List Number 3"/>
    <w:basedOn w:val="List3"/>
    <w:rsid w:val="006D2751"/>
    <w:pPr>
      <w:numPr>
        <w:numId w:val="5"/>
      </w:numPr>
    </w:pPr>
  </w:style>
  <w:style w:type="paragraph" w:styleId="ListNumber4">
    <w:name w:val="List Number 4"/>
    <w:basedOn w:val="List4"/>
    <w:rsid w:val="006D2751"/>
    <w:pPr>
      <w:numPr>
        <w:numId w:val="6"/>
      </w:numPr>
    </w:pPr>
  </w:style>
  <w:style w:type="paragraph" w:styleId="ListNumber5">
    <w:name w:val="List Number 5"/>
    <w:basedOn w:val="List5"/>
    <w:rsid w:val="006D2751"/>
    <w:pPr>
      <w:numPr>
        <w:numId w:val="7"/>
      </w:numPr>
    </w:pPr>
  </w:style>
  <w:style w:type="paragraph" w:styleId="BlockText">
    <w:name w:val="Block Text"/>
    <w:basedOn w:val="Normal"/>
    <w:rsid w:val="006D2751"/>
    <w:pPr>
      <w:spacing w:after="120"/>
      <w:ind w:left="1440" w:right="1440"/>
    </w:pPr>
  </w:style>
  <w:style w:type="character" w:customStyle="1" w:styleId="Subscript">
    <w:name w:val="Subscript"/>
    <w:basedOn w:val="DefaultParagraphFont"/>
    <w:rsid w:val="006D2751"/>
    <w:rPr>
      <w:sz w:val="16"/>
      <w:vertAlign w:val="subscript"/>
    </w:rPr>
  </w:style>
  <w:style w:type="character" w:customStyle="1" w:styleId="Superscript">
    <w:name w:val="Superscript"/>
    <w:basedOn w:val="DefaultParagraphFont"/>
    <w:rsid w:val="006D2751"/>
    <w:rPr>
      <w:sz w:val="16"/>
      <w:vertAlign w:val="superscript"/>
    </w:rPr>
  </w:style>
  <w:style w:type="character" w:customStyle="1" w:styleId="Symbols">
    <w:name w:val="Symbols"/>
    <w:basedOn w:val="DefaultParagraphFont"/>
    <w:rsid w:val="006D2751"/>
    <w:rPr>
      <w:rFonts w:ascii="Symbol" w:hAnsi="Symbol"/>
    </w:rPr>
  </w:style>
  <w:style w:type="character" w:customStyle="1" w:styleId="MenuOptions">
    <w:name w:val="Menu Options"/>
    <w:basedOn w:val="DefaultParagraphFont"/>
    <w:rsid w:val="006D2751"/>
    <w:rPr>
      <w:rFonts w:ascii="Arial Narrow" w:hAnsi="Arial Narrow"/>
      <w:smallCaps/>
    </w:rPr>
  </w:style>
  <w:style w:type="character" w:customStyle="1" w:styleId="Buttons">
    <w:name w:val="Buttons"/>
    <w:basedOn w:val="DefaultParagraphFont"/>
    <w:rsid w:val="006D2751"/>
    <w:rPr>
      <w:b/>
    </w:rPr>
  </w:style>
  <w:style w:type="character" w:customStyle="1" w:styleId="Underlined">
    <w:name w:val="Underlined"/>
    <w:basedOn w:val="DefaultParagraphFont"/>
    <w:rsid w:val="006D2751"/>
    <w:rPr>
      <w:u w:val="single"/>
    </w:rPr>
  </w:style>
  <w:style w:type="paragraph" w:customStyle="1" w:styleId="TableBodyTextRight">
    <w:name w:val="Table Body Text Right"/>
    <w:basedOn w:val="TableBodyText"/>
    <w:rsid w:val="006D2751"/>
    <w:pPr>
      <w:widowControl w:val="0"/>
      <w:autoSpaceDE w:val="0"/>
      <w:autoSpaceDN w:val="0"/>
      <w:adjustRightInd w:val="0"/>
      <w:jc w:val="right"/>
    </w:pPr>
    <w:rPr>
      <w:rFonts w:cs="Arial"/>
      <w:szCs w:val="18"/>
    </w:rPr>
  </w:style>
  <w:style w:type="paragraph" w:customStyle="1" w:styleId="CopyrightText">
    <w:name w:val="Copyright Text"/>
    <w:basedOn w:val="BodyText"/>
    <w:rsid w:val="006D2751"/>
    <w:rPr>
      <w:sz w:val="18"/>
    </w:rPr>
  </w:style>
  <w:style w:type="paragraph" w:customStyle="1" w:styleId="BodySmallRight">
    <w:name w:val="Body Small Right"/>
    <w:basedOn w:val="BodyTextRight"/>
    <w:rsid w:val="006D2751"/>
    <w:rPr>
      <w:sz w:val="18"/>
      <w:szCs w:val="18"/>
    </w:rPr>
  </w:style>
  <w:style w:type="paragraph" w:customStyle="1" w:styleId="MarginEdition">
    <w:name w:val="Margin Edition"/>
    <w:basedOn w:val="MarginNote"/>
    <w:rsid w:val="006D2751"/>
    <w:pPr>
      <w:spacing w:before="0" w:after="0"/>
    </w:pPr>
    <w:rPr>
      <w:rFonts w:ascii="Times New Roman" w:hAnsi="Times New Roman"/>
      <w:color w:val="999999"/>
    </w:rPr>
  </w:style>
  <w:style w:type="paragraph" w:customStyle="1" w:styleId="Spacer">
    <w:name w:val="Spacer"/>
    <w:basedOn w:val="Normal"/>
    <w:rsid w:val="006D2751"/>
    <w:rPr>
      <w:sz w:val="2"/>
      <w:szCs w:val="2"/>
    </w:rPr>
  </w:style>
  <w:style w:type="character" w:customStyle="1" w:styleId="Small">
    <w:name w:val="Small"/>
    <w:basedOn w:val="DefaultParagraphFont"/>
    <w:rsid w:val="006D2751"/>
    <w:rPr>
      <w:sz w:val="16"/>
    </w:rPr>
  </w:style>
  <w:style w:type="paragraph" w:customStyle="1" w:styleId="WideTable">
    <w:name w:val="Wide Table"/>
    <w:basedOn w:val="Normal"/>
    <w:rsid w:val="006D2751"/>
    <w:pPr>
      <w:ind w:left="-1418"/>
    </w:pPr>
    <w:rPr>
      <w:sz w:val="2"/>
      <w:szCs w:val="2"/>
    </w:rPr>
  </w:style>
  <w:style w:type="character" w:styleId="PageNumber">
    <w:name w:val="page number"/>
    <w:basedOn w:val="DefaultParagraphFont"/>
    <w:rsid w:val="006D2751"/>
  </w:style>
  <w:style w:type="paragraph" w:styleId="Quote">
    <w:name w:val="Quote"/>
    <w:basedOn w:val="Heading1"/>
    <w:link w:val="QuoteChar"/>
    <w:qFormat/>
    <w:rsid w:val="006D2751"/>
    <w:rPr>
      <w:b w:val="0"/>
      <w:sz w:val="72"/>
      <w:szCs w:val="72"/>
      <w:lang w:val="en-NZ"/>
    </w:rPr>
  </w:style>
  <w:style w:type="character" w:customStyle="1" w:styleId="QuoteChar">
    <w:name w:val="Quote Char"/>
    <w:basedOn w:val="DefaultParagraphFont"/>
    <w:link w:val="Quote"/>
    <w:rsid w:val="006D2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751"/>
    <w:pPr>
      <w:pageBreakBefore/>
    </w:pPr>
  </w:style>
  <w:style w:type="paragraph" w:customStyle="1" w:styleId="Border">
    <w:name w:val="Border"/>
    <w:basedOn w:val="Normal"/>
    <w:qFormat/>
    <w:rsid w:val="006D2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751"/>
    <w:rPr>
      <w:b/>
      <w:bCs/>
      <w:i/>
      <w:iCs/>
      <w:color w:val="auto"/>
    </w:rPr>
  </w:style>
  <w:style w:type="paragraph" w:styleId="IntenseQuote">
    <w:name w:val="Intense Quote"/>
    <w:basedOn w:val="Normal"/>
    <w:next w:val="Normal"/>
    <w:link w:val="IntenseQuoteChar"/>
    <w:uiPriority w:val="30"/>
    <w:qFormat/>
    <w:rsid w:val="006D2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751"/>
    <w:rPr>
      <w:smallCaps/>
      <w:color w:val="auto"/>
      <w:u w:val="single"/>
    </w:rPr>
  </w:style>
  <w:style w:type="character" w:styleId="IntenseReference">
    <w:name w:val="Intense Reference"/>
    <w:basedOn w:val="DefaultParagraphFont"/>
    <w:uiPriority w:val="32"/>
    <w:qFormat/>
    <w:rsid w:val="006D2751"/>
    <w:rPr>
      <w:b/>
      <w:bCs/>
      <w:smallCaps/>
      <w:color w:val="auto"/>
      <w:spacing w:val="5"/>
      <w:u w:val="single"/>
    </w:rPr>
  </w:style>
  <w:style w:type="paragraph" w:customStyle="1" w:styleId="2ColumnHeading">
    <w:name w:val="2Column Heading"/>
    <w:basedOn w:val="BodyText"/>
    <w:qFormat/>
    <w:rsid w:val="006D2751"/>
    <w:pPr>
      <w:spacing w:after="60"/>
      <w:ind w:left="-2268"/>
    </w:pPr>
    <w:rPr>
      <w:b/>
    </w:rPr>
  </w:style>
  <w:style w:type="paragraph" w:customStyle="1" w:styleId="Heading1TOC">
    <w:name w:val="Heading1 TOC"/>
    <w:basedOn w:val="Normal"/>
    <w:qFormat/>
    <w:rsid w:val="006D2751"/>
    <w:pPr>
      <w:spacing w:before="240" w:after="120"/>
    </w:pPr>
    <w:rPr>
      <w:rFonts w:ascii="Times New Roman" w:hAnsi="Times New Roman"/>
      <w:b/>
      <w:sz w:val="32"/>
    </w:rPr>
  </w:style>
  <w:style w:type="paragraph" w:customStyle="1" w:styleId="Heading2TOC">
    <w:name w:val="Heading2 TOC"/>
    <w:basedOn w:val="Normal"/>
    <w:qFormat/>
    <w:rsid w:val="006D2751"/>
    <w:pPr>
      <w:spacing w:before="240" w:after="60"/>
    </w:pPr>
    <w:rPr>
      <w:rFonts w:ascii="Times New Roman" w:hAnsi="Times New Roman"/>
      <w:b/>
      <w:sz w:val="28"/>
    </w:rPr>
  </w:style>
  <w:style w:type="character" w:customStyle="1" w:styleId="Underline">
    <w:name w:val="Underline"/>
    <w:basedOn w:val="DefaultParagraphFont"/>
    <w:qFormat/>
    <w:rsid w:val="006D2751"/>
    <w:rPr>
      <w:u w:val="single"/>
    </w:rPr>
  </w:style>
  <w:style w:type="character" w:customStyle="1" w:styleId="BoldandItalics">
    <w:name w:val="Bold and Italics"/>
    <w:qFormat/>
    <w:rsid w:val="006D2751"/>
    <w:rPr>
      <w:b/>
      <w:i/>
      <w:u w:val="none"/>
    </w:rPr>
  </w:style>
  <w:style w:type="paragraph" w:styleId="BalloonText">
    <w:name w:val="Balloon Text"/>
    <w:basedOn w:val="Normal"/>
    <w:link w:val="BalloonTextChar"/>
    <w:rsid w:val="006D2751"/>
    <w:rPr>
      <w:rFonts w:ascii="Tahoma" w:hAnsi="Tahoma" w:cs="Tahoma"/>
      <w:sz w:val="16"/>
      <w:szCs w:val="16"/>
    </w:rPr>
  </w:style>
  <w:style w:type="character" w:customStyle="1" w:styleId="BalloonTextChar">
    <w:name w:val="Balloon Text Char"/>
    <w:basedOn w:val="DefaultParagraphFont"/>
    <w:link w:val="BalloonText"/>
    <w:rsid w:val="006D2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751"/>
    <w:rPr>
      <w:b/>
      <w:color w:val="660033"/>
      <w:spacing w:val="0"/>
    </w:rPr>
  </w:style>
  <w:style w:type="paragraph" w:customStyle="1" w:styleId="Nameditemlist">
    <w:name w:val="Named item list"/>
    <w:basedOn w:val="BodyText"/>
    <w:qFormat/>
    <w:rsid w:val="006D2751"/>
    <w:pPr>
      <w:tabs>
        <w:tab w:val="left" w:pos="2835"/>
      </w:tabs>
      <w:ind w:left="2835" w:hanging="2835"/>
    </w:pPr>
  </w:style>
  <w:style w:type="paragraph" w:customStyle="1" w:styleId="BodyTextnopadding">
    <w:name w:val="Body Text no padding"/>
    <w:basedOn w:val="BodyText"/>
    <w:qFormat/>
    <w:rsid w:val="006D2751"/>
    <w:pPr>
      <w:spacing w:before="0" w:after="0"/>
    </w:pPr>
  </w:style>
  <w:style w:type="paragraph" w:customStyle="1" w:styleId="BodyTextBold">
    <w:name w:val="Body Text Bold"/>
    <w:basedOn w:val="BodyText"/>
    <w:qFormat/>
    <w:rsid w:val="006D2751"/>
    <w:rPr>
      <w:b/>
    </w:rPr>
  </w:style>
  <w:style w:type="character" w:styleId="Hyperlink">
    <w:name w:val="Hyperlink"/>
    <w:basedOn w:val="DefaultParagraphFont"/>
    <w:uiPriority w:val="99"/>
    <w:unhideWhenUsed/>
    <w:rsid w:val="009F6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4525</Characters>
  <Application>Microsoft Office Word</Application>
  <DocSecurity>0</DocSecurity>
  <Lines>113</Lines>
  <Paragraphs>89</Paragraphs>
  <ScaleCrop>false</ScaleCrop>
  <Company>Author-it Software Corporation Ltd.</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UEEEL0056 Place and connect electrical coils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