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B46" w:rsidP="00820B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UEEEL0047 Identify, shut down and restart systems with alternate supplies</w:t>
      </w:r>
      <w:r>
        <w:fldChar w:fldCharType="end"/>
      </w:r>
    </w:p>
    <w:p w:rsidR="00820B46" w:rsidP="00820B46">
      <w:pPr>
        <w:pStyle w:val="Version"/>
        <w:sectPr w:rsidSect="00740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0B21" w:rsidP="00740B21">
      <w:pPr>
        <w:pStyle w:val="SuperHeading"/>
      </w:pPr>
      <w:r w:rsidRPr="00740B21">
        <w:t>UEEEL0047 Identify, shut down and restart systems with alternate supplies</w:t>
      </w:r>
    </w:p>
    <w:p w:rsidR="00000000" w:rsidRPr="00740B21" w:rsidP="00740B21">
      <w:pPr>
        <w:pStyle w:val="Heading1"/>
      </w:pPr>
      <w:bookmarkStart w:id="1" w:name="O_1238181"/>
      <w:bookmarkEnd w:id="1"/>
      <w:r w:rsidRPr="00740B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t>Release 2. This is the second release of this unit of competency in the UEE Electrotechnology Training Package.</w:t>
            </w:r>
          </w:p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Assessor requirements updated in Assessment Conditions.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t>Release 1. This is the first release of this unit of competency in the UEE Electrotechnology Training Package.</w:t>
            </w:r>
          </w:p>
        </w:tc>
      </w:tr>
    </w:tbl>
    <w:p w:rsidR="00000000" w:rsidRPr="00740B21" w:rsidP="00740B21">
      <w:pPr>
        <w:pStyle w:val="NoPaddingFontSize1"/>
      </w:pPr>
    </w:p>
    <w:p w:rsidR="00000000" w:rsidRPr="00740B21" w:rsidP="00740B21">
      <w:pPr>
        <w:pStyle w:val="AllowPageBreak"/>
      </w:pPr>
    </w:p>
    <w:p w:rsidR="00000000" w:rsidRPr="00740B21" w:rsidP="00740B21">
      <w:pPr>
        <w:pStyle w:val="Heading1"/>
      </w:pPr>
      <w:bookmarkStart w:id="2" w:name="O_1238180"/>
      <w:bookmarkEnd w:id="2"/>
      <w:r w:rsidRPr="00740B2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t>This unit involves the skills and knowledge required to</w:t>
            </w:r>
            <w:r w:rsidRPr="00740B21">
              <w:t xml:space="preserve"> identify, shut down and restart systems with alternate supplies.</w:t>
            </w:r>
          </w:p>
          <w:p w:rsidR="00000000" w:rsidRPr="00740B21" w:rsidP="00740B21">
            <w:pPr>
              <w:pStyle w:val="BodyText"/>
            </w:pPr>
            <w:r w:rsidRPr="00740B21">
              <w:t>It includes identifying the system configuration, working safely with electricity generation systems and inverters, identifying hazards and controlling the associated risks, isolation and te</w:t>
            </w:r>
            <w:r w:rsidRPr="00740B21">
              <w:t>sting for de-energisation, reinstating the system after isolation, and completing relevant documentation.</w:t>
            </w:r>
          </w:p>
          <w:p w:rsidR="00000000" w:rsidRPr="00740B21" w:rsidP="00740B21">
            <w:pPr>
              <w:pStyle w:val="BodyText"/>
            </w:pPr>
            <w:r w:rsidRPr="00740B21">
              <w:t>The skills and knowledge described in this unit require a licence or permit to practice in the workplace where work is carried out on electrical insta</w:t>
            </w:r>
            <w:r w:rsidRPr="00740B21">
              <w:t xml:space="preserve">llations which are designed to operate at voltages greater than 50 volt (V) alternating current (a.c.) or 120 V direct current (d.c.). </w:t>
            </w:r>
          </w:p>
          <w:p w:rsidR="00000000" w:rsidRPr="00740B21" w:rsidP="00740B21">
            <w:pPr>
              <w:pStyle w:val="BodyText"/>
            </w:pPr>
            <w:r w:rsidRPr="00740B21">
              <w:t>Competency development activities in this unit are subject to regulations directly related to licensing. Where a licence</w:t>
            </w:r>
            <w:r w:rsidRPr="00740B21">
              <w:t xml:space="preserve"> or permit to practice is not held, a relevant contract of training, such as an Australian Apprenticeship, may be required. </w:t>
            </w:r>
          </w:p>
          <w:p w:rsidR="00000000" w:rsidRPr="00740B21" w:rsidP="00740B21">
            <w:pPr>
              <w:pStyle w:val="BodyText"/>
            </w:pPr>
            <w:r w:rsidRPr="00740B21">
              <w:t>Additional and/or other conditions may apply in some jurisdictions subject to regulations related to electrical work. Practice in t</w:t>
            </w:r>
            <w:r w:rsidRPr="00740B21">
              <w:t>he workplace and during training is also subject to work health and safety (WHS)/occupational health and safety (OHS) regulations.</w:t>
            </w:r>
          </w:p>
        </w:tc>
      </w:tr>
    </w:tbl>
    <w:p w:rsidR="00000000" w:rsidRPr="00740B21" w:rsidP="00740B21">
      <w:pPr>
        <w:pStyle w:val="NoPaddingFontSize1"/>
      </w:pPr>
    </w:p>
    <w:p w:rsidR="00000000" w:rsidRPr="00740B21" w:rsidP="00740B21">
      <w:pPr>
        <w:pStyle w:val="AllowPageBreak"/>
      </w:pPr>
    </w:p>
    <w:p w:rsidR="00000000" w:rsidRPr="00740B21" w:rsidP="00740B21">
      <w:pPr>
        <w:pStyle w:val="Heading1"/>
      </w:pPr>
      <w:bookmarkStart w:id="3" w:name="O_1238179"/>
      <w:bookmarkEnd w:id="3"/>
      <w:r w:rsidRPr="00740B2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t>UEECD0007 Apply work health and safety regulations, codes and practices in the workpl</w:t>
            </w:r>
            <w:r w:rsidRPr="00740B21">
              <w:t>ace</w:t>
            </w:r>
          </w:p>
          <w:p w:rsidR="00000000" w:rsidRPr="00740B21" w:rsidP="00740B21">
            <w:pPr>
              <w:pStyle w:val="BodyText"/>
            </w:pPr>
            <w:r w:rsidRPr="00740B21">
              <w:t>UEECD0019 Fabricate, assemble and dismantle utilities industry components</w:t>
            </w:r>
          </w:p>
          <w:p w:rsidR="00000000" w:rsidRPr="00740B21" w:rsidP="00740B21">
            <w:pPr>
              <w:pStyle w:val="BodyText"/>
            </w:pPr>
            <w:r w:rsidRPr="00740B21">
              <w:t>UEECD0020 Fix and secure electrotechnology equipment</w:t>
            </w:r>
          </w:p>
          <w:p w:rsidR="00000000" w:rsidRPr="00740B21" w:rsidP="00740B21">
            <w:pPr>
              <w:pStyle w:val="BodyText"/>
            </w:pPr>
            <w:r w:rsidRPr="00740B21">
              <w:t>UEECD0051 Use drawings, diagrams, schedules, standards, codes and specifications</w:t>
            </w:r>
          </w:p>
          <w:p w:rsidR="00000000" w:rsidRPr="00740B21" w:rsidP="00740B21">
            <w:pPr>
              <w:pStyle w:val="BodyText"/>
            </w:pPr>
            <w:r w:rsidRPr="00740B21">
              <w:t>UEEEL0003 Arrange circuits, control and protection for general electrical installations</w:t>
            </w:r>
          </w:p>
          <w:p w:rsidR="00000000" w:rsidRPr="00740B21" w:rsidP="00740B21">
            <w:pPr>
              <w:pStyle w:val="BodyText"/>
            </w:pPr>
            <w:r w:rsidRPr="00740B21">
              <w:t>UEEEL0020 Solve problems in low voltage a.c. circuits</w:t>
            </w:r>
          </w:p>
          <w:p w:rsidR="00000000" w:rsidRPr="00740B21" w:rsidP="00740B21">
            <w:pPr>
              <w:pStyle w:val="BodyText"/>
            </w:pPr>
            <w:r w:rsidRPr="00740B21">
              <w:t>UEEEL0023 Terminate cables, cords and accessories for low voltage circuits</w:t>
            </w:r>
          </w:p>
          <w:p w:rsidR="00000000" w:rsidRPr="00740B21" w:rsidP="00740B21">
            <w:pPr>
              <w:pStyle w:val="BodyText"/>
            </w:pPr>
            <w:r w:rsidRPr="00740B21">
              <w:t>UEEEL0019 Solve problems in direct curr</w:t>
            </w:r>
            <w:r w:rsidRPr="00740B21">
              <w:t>ent (d.c.) machines</w:t>
            </w:r>
          </w:p>
          <w:p w:rsidR="00000000" w:rsidRPr="00740B21" w:rsidP="00740B21">
            <w:pPr>
              <w:pStyle w:val="BodyText"/>
            </w:pPr>
            <w:r w:rsidRPr="00740B21">
              <w:t>UEEEL0021 Solve problems in magnetic and electromagnetic devices</w:t>
            </w:r>
          </w:p>
          <w:p w:rsidR="00000000" w:rsidRPr="00740B21" w:rsidP="00740B21">
            <w:pPr>
              <w:pStyle w:val="BodyText"/>
            </w:pPr>
            <w:r w:rsidRPr="00740B21">
              <w:t xml:space="preserve">and </w:t>
            </w:r>
          </w:p>
          <w:p w:rsidR="00000000" w:rsidRPr="00740B21" w:rsidP="00740B21">
            <w:pPr>
              <w:pStyle w:val="BodyText"/>
            </w:pPr>
            <w:r w:rsidRPr="00740B21">
              <w:t>UEECD0043 Solve problems in direct current circuits</w:t>
            </w:r>
          </w:p>
          <w:p w:rsidR="00000000" w:rsidRPr="00740B21" w:rsidP="00740B21">
            <w:pPr>
              <w:pStyle w:val="BodyText"/>
            </w:pPr>
            <w:r w:rsidRPr="00740B21">
              <w:t>or</w:t>
            </w:r>
          </w:p>
          <w:p w:rsidR="00000000" w:rsidRPr="00740B21" w:rsidP="00740B21">
            <w:pPr>
              <w:pStyle w:val="BodyText"/>
            </w:pPr>
            <w:r w:rsidRPr="00740B21">
              <w:t>UEECD0044 Solve problems in multiple path circuits</w:t>
            </w:r>
          </w:p>
          <w:p w:rsidR="00000000" w:rsidRPr="00740B21" w:rsidP="00740B21">
            <w:pPr>
              <w:pStyle w:val="BodyText"/>
            </w:pPr>
            <w:r w:rsidRPr="00740B21">
              <w:t>UEECD0046 Solve problems in single path circuits</w:t>
            </w:r>
          </w:p>
        </w:tc>
      </w:tr>
    </w:tbl>
    <w:p w:rsidR="00000000" w:rsidRPr="00740B21" w:rsidP="00740B21">
      <w:pPr>
        <w:pStyle w:val="NoPaddingFontSize1"/>
      </w:pPr>
    </w:p>
    <w:p w:rsidR="00000000" w:rsidRPr="00740B21" w:rsidP="00740B21">
      <w:pPr>
        <w:pStyle w:val="AllowPageBreak"/>
      </w:pPr>
    </w:p>
    <w:p w:rsidR="00000000" w:rsidRPr="00740B21" w:rsidP="00740B21">
      <w:pPr>
        <w:pStyle w:val="Heading1"/>
      </w:pPr>
      <w:bookmarkStart w:id="4" w:name="O_1238178"/>
      <w:bookmarkEnd w:id="4"/>
      <w:r w:rsidRPr="00740B2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t>Electrical</w:t>
            </w:r>
          </w:p>
        </w:tc>
      </w:tr>
    </w:tbl>
    <w:p w:rsidR="00000000" w:rsidRPr="00740B21" w:rsidP="00740B21">
      <w:pPr>
        <w:pStyle w:val="NoPaddingFontSize1"/>
      </w:pPr>
    </w:p>
    <w:p w:rsidR="00000000" w:rsidRPr="00740B21" w:rsidP="00740B21">
      <w:pPr>
        <w:pStyle w:val="AllowPageBreak"/>
      </w:pPr>
    </w:p>
    <w:p w:rsidR="00000000" w:rsidRPr="00740B21" w:rsidP="00740B21">
      <w:pPr>
        <w:pStyle w:val="Heading1"/>
      </w:pPr>
      <w:bookmarkStart w:id="5" w:name="O_1238177"/>
      <w:bookmarkEnd w:id="5"/>
      <w:r w:rsidRPr="00740B2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t>Electrotechnology</w:t>
            </w:r>
          </w:p>
        </w:tc>
      </w:tr>
    </w:tbl>
    <w:p w:rsidR="00000000" w:rsidRPr="00740B21" w:rsidP="00740B21">
      <w:pPr>
        <w:pStyle w:val="NoPaddingFontSize1"/>
      </w:pPr>
    </w:p>
    <w:p w:rsidR="00000000" w:rsidRPr="00740B21" w:rsidP="00740B21">
      <w:pPr>
        <w:pStyle w:val="AllowPageBreak"/>
      </w:pPr>
    </w:p>
    <w:p w:rsidR="00000000" w:rsidRPr="00740B21" w:rsidP="00740B21">
      <w:pPr>
        <w:pStyle w:val="Heading1"/>
      </w:pPr>
      <w:bookmarkStart w:id="6" w:name="O_1238176"/>
      <w:bookmarkEnd w:id="6"/>
      <w:r w:rsidRPr="00740B2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PERFORMANCE CRITERIA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Performance criteria describe the performance needed to demonstrate achievement of the element.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rPr>
                <w:rStyle w:val="SpecialBold"/>
              </w:rPr>
              <w:t>Prepare to work on systems with alternate supplies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Nature of the installation is obtained from appropriate written documentation, electrical drawings a</w:t>
            </w:r>
            <w:r w:rsidRPr="00740B21">
              <w:t>nd/or relevant person/s to determine the scope of work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WHS/OHS workplace procedures are obtained, interpreted and applied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Hazards are identified, risks are assessed, and control measures are implemented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Tools, equipment and circuit testing devices are obtained and checked for correct operation and safety in accordance with workplace procedures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Work supervisor is consulted to ensure work is coordinated effectively with others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rPr>
                <w:rStyle w:val="SpecialBold"/>
              </w:rPr>
              <w:t>Identify and isolate</w:t>
            </w:r>
            <w:r w:rsidRPr="00740B21">
              <w:rPr>
                <w:rStyle w:val="SpecialBold"/>
              </w:rPr>
              <w:t xml:space="preserve"> alternate supplies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Labelling indicating generation system/s connected on site is located, interpreted and checked against electrical diagrams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Switchboard, circuits and known supply are identified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Site procedures for isolation and shutdown are obtained and interpreted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Circuit to be isolated is identified and tested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Shutdown procedures are completed in accordance with industry standards and workplace procedures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Isolation of energy sources is completed and proved in accordance with workplace procedures, industry standards and regulatory requirements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2.7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Systems are inspected and tested for compliance with industry and regulatory standards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2.8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Battery storage system integrity is checked in accordance with industry standards and regulatory requirements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2.9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 xml:space="preserve">System is re-instated after isolation 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rPr>
                <w:rStyle w:val="SpecialBold"/>
              </w:rPr>
              <w:t>Complete work and document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WHS/OHS work completion risk control measures and procedures are followed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Worksite is cleaned and made safe in accordance with workplace procedures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t>Work completion is documented, electrical drawings are updated, and relevant personnel are not</w:t>
            </w:r>
            <w:r w:rsidRPr="00740B21">
              <w:t>ified in accordance with workplace procedures and regulatory requirements</w:t>
            </w:r>
          </w:p>
        </w:tc>
      </w:tr>
    </w:tbl>
    <w:p w:rsidR="00000000" w:rsidRPr="00740B21" w:rsidP="00740B21">
      <w:pPr>
        <w:pStyle w:val="NoPaddingFontSize1"/>
      </w:pPr>
    </w:p>
    <w:p w:rsidR="00000000" w:rsidRPr="00740B21" w:rsidP="00740B21">
      <w:pPr>
        <w:pStyle w:val="AllowPageBreak"/>
      </w:pPr>
    </w:p>
    <w:p w:rsidR="00000000" w:rsidRPr="00740B21" w:rsidP="00740B21">
      <w:pPr>
        <w:pStyle w:val="Heading1"/>
      </w:pPr>
      <w:bookmarkStart w:id="7" w:name="O_1238175"/>
      <w:bookmarkEnd w:id="7"/>
      <w:r w:rsidRPr="00740B2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t>Foundation skills essential to performance are explicit in the performance criteria of this unit of competency.</w:t>
            </w:r>
          </w:p>
        </w:tc>
      </w:tr>
    </w:tbl>
    <w:p w:rsidR="00000000" w:rsidRPr="00740B21" w:rsidP="00740B21">
      <w:pPr>
        <w:pStyle w:val="NoPaddingFontSize1"/>
      </w:pPr>
    </w:p>
    <w:p w:rsidR="00000000" w:rsidRPr="00740B21" w:rsidP="00740B21">
      <w:pPr>
        <w:pStyle w:val="AllowPageBreak"/>
      </w:pPr>
    </w:p>
    <w:p w:rsidR="00000000" w:rsidRPr="00740B21" w:rsidP="00740B21">
      <w:pPr>
        <w:pStyle w:val="Heading1"/>
      </w:pPr>
      <w:bookmarkStart w:id="8" w:name="O_1238174"/>
      <w:bookmarkEnd w:id="8"/>
      <w:r w:rsidRPr="00740B2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t>Range is restricted to essential operating conditions and any other variables essential to the work environment.</w:t>
            </w:r>
          </w:p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Non-essential conditions may be found in the UEE Electrotechnology Training Package Companion Volume Implementation Guide.</w:t>
            </w:r>
          </w:p>
        </w:tc>
      </w:tr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21">
            <w:pPr>
              <w:pStyle w:val="BodyText"/>
              <w:rPr>
                <w:lang w:val="en-NZ"/>
              </w:rPr>
            </w:pPr>
            <w:r w:rsidRPr="00740B21">
              <w:t>Identifying, shutting down and restarting systems must include electricity generation systems and electricity converters relevant to the installation type, including: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ListBullet"/>
            </w:pPr>
            <w:r w:rsidRPr="00740B21">
              <w:t>one with an energy source that is still available once turned off; and</w:t>
            </w:r>
          </w:p>
          <w:p w:rsidR="00000000" w:rsidRPr="00740B21" w:rsidP="00740B21">
            <w:pPr>
              <w:pStyle w:val="ListBullet"/>
            </w:pPr>
            <w:r w:rsidRPr="00740B21">
              <w:t>one inverter en</w:t>
            </w:r>
            <w:r w:rsidRPr="00740B21">
              <w:t xml:space="preserve">ergy system </w:t>
            </w:r>
          </w:p>
          <w:p w:rsidR="00000000" w:rsidRPr="00740B21" w:rsidP="00740B21">
            <w:pPr>
              <w:pStyle w:val="ListBullet"/>
            </w:pPr>
            <w:r w:rsidRPr="00740B21">
              <w:t>AND, at least two of the following:</w:t>
            </w:r>
          </w:p>
          <w:p w:rsidR="00000000" w:rsidRPr="00740B21" w:rsidP="00740B21">
            <w:pPr>
              <w:pStyle w:val="ListBullet"/>
            </w:pPr>
            <w:r w:rsidRPr="00740B21">
              <w:t>grid-connected inverter systems</w:t>
            </w:r>
          </w:p>
          <w:p w:rsidR="00000000" w:rsidRPr="00740B21" w:rsidP="00740B21">
            <w:pPr>
              <w:pStyle w:val="ListBullet"/>
            </w:pPr>
            <w:r w:rsidRPr="00740B21">
              <w:t>photovoltaic (PV) array systems</w:t>
            </w:r>
          </w:p>
          <w:p w:rsidR="00000000" w:rsidRPr="00740B21" w:rsidP="00740B21">
            <w:pPr>
              <w:pStyle w:val="ListBullet"/>
            </w:pPr>
            <w:r w:rsidRPr="00740B21">
              <w:t>micro-inverters</w:t>
            </w:r>
          </w:p>
          <w:p w:rsidR="00000000" w:rsidRPr="00740B21" w:rsidP="00740B21">
            <w:pPr>
              <w:pStyle w:val="ListBullet"/>
            </w:pPr>
            <w:r w:rsidRPr="00740B21">
              <w:t>engine-driven generating sets</w:t>
            </w:r>
          </w:p>
          <w:p w:rsidR="00000000" w:rsidRPr="00740B21" w:rsidP="00740B21">
            <w:pPr>
              <w:pStyle w:val="ListBullet"/>
            </w:pPr>
            <w:r w:rsidRPr="00740B21">
              <w:t>stand-alone power systems</w:t>
            </w:r>
          </w:p>
          <w:p w:rsidR="00000000" w:rsidRPr="00740B21" w:rsidP="00740B21">
            <w:pPr>
              <w:pStyle w:val="ListBullet"/>
            </w:pPr>
            <w:r w:rsidRPr="00740B21">
              <w:t>battery systems</w:t>
            </w:r>
          </w:p>
        </w:tc>
      </w:tr>
    </w:tbl>
    <w:p w:rsidR="00820B46" w:rsidP="00740B21">
      <w:pPr>
        <w:pStyle w:val="NoPaddingFontSize1"/>
      </w:pPr>
    </w:p>
    <w:p w:rsidR="00820B46" w:rsidP="00740B21">
      <w:pPr>
        <w:pStyle w:val="NoPaddingFontSize1"/>
      </w:pPr>
    </w:p>
    <w:p w:rsidR="00000000" w:rsidRPr="00740B21" w:rsidP="00740B21">
      <w:pPr>
        <w:pStyle w:val="Heading1"/>
      </w:pPr>
      <w:bookmarkStart w:id="9" w:name="O_1238173"/>
      <w:bookmarkEnd w:id="9"/>
      <w:r w:rsidRPr="00740B2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0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21" w:rsidP="00740B21">
            <w:pPr>
              <w:pStyle w:val="BodyText"/>
            </w:pPr>
            <w:r w:rsidRPr="00740B21">
              <w:t>No equivalent unit.</w:t>
            </w:r>
          </w:p>
        </w:tc>
      </w:tr>
    </w:tbl>
    <w:p w:rsidR="00000000" w:rsidRPr="00740B21" w:rsidP="00740B21">
      <w:pPr>
        <w:pStyle w:val="NoPaddingFontSize1"/>
      </w:pPr>
    </w:p>
    <w:p w:rsidR="00000000" w:rsidRPr="00740B21" w:rsidP="00740B21">
      <w:pPr>
        <w:pStyle w:val="AllowPageBreak"/>
      </w:pPr>
    </w:p>
    <w:p w:rsidR="00000000" w:rsidRPr="00740B21" w:rsidP="00740B21">
      <w:pPr>
        <w:pStyle w:val="Heading1"/>
      </w:pPr>
      <w:bookmarkStart w:id="10" w:name="O_1238182"/>
      <w:bookmarkEnd w:id="10"/>
      <w:r w:rsidRPr="00740B21">
        <w:t>Links</w:t>
      </w:r>
    </w:p>
    <w:p w:rsidR="00000000" w:rsidRPr="00740B21" w:rsidP="00820B46">
      <w:pPr>
        <w:pStyle w:val="BodyText"/>
      </w:pPr>
      <w:r w:rsidRPr="00740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8140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40B21" w:rsidP="00740B21"/>
    <w:sectPr w:rsidSect="00740B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21" w:rsidRPr="00820B46" w:rsidP="00820B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46" w:rsidP="00740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0B46" w:rsidP="00740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20B46" w:rsidP="00740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B21" w:rsidRPr="00820B46" w:rsidP="00820B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46" w:rsidRPr="002D2AF8" w:rsidP="00740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UEEEL0047 Identify, shut down and restart systems with alternate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20B46" w:rsidP="00740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2E2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4847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B21"/>
  </w:style>
  <w:style w:type="character" w:customStyle="1" w:styleId="Heading1Char">
    <w:name w:val="Heading 1 Char"/>
    <w:basedOn w:val="DefaultParagraphFont"/>
    <w:link w:val="Heading1"/>
    <w:rsid w:val="00740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B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B21"/>
    <w:rPr>
      <w:b/>
      <w:spacing w:val="0"/>
    </w:rPr>
  </w:style>
  <w:style w:type="paragraph" w:customStyle="1" w:styleId="SuperHeading">
    <w:name w:val="SuperHeading"/>
    <w:basedOn w:val="Normal"/>
    <w:rsid w:val="00740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0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0B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0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B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B21"/>
    <w:rPr>
      <w:i/>
    </w:rPr>
  </w:style>
  <w:style w:type="paragraph" w:styleId="Caption">
    <w:name w:val="caption"/>
    <w:basedOn w:val="BodyText"/>
    <w:next w:val="Normal"/>
    <w:qFormat/>
    <w:rsid w:val="00740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B21"/>
  </w:style>
  <w:style w:type="paragraph" w:styleId="TableofFigures">
    <w:name w:val="table of figures"/>
    <w:basedOn w:val="Normal"/>
    <w:next w:val="Normal"/>
    <w:semiHidden/>
    <w:rsid w:val="00740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B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0B21"/>
    <w:rPr>
      <w:rFonts w:ascii="Wingdings" w:hAnsi="Wingdings"/>
    </w:rPr>
  </w:style>
  <w:style w:type="paragraph" w:customStyle="1" w:styleId="TableHeading">
    <w:name w:val="Table Heading"/>
    <w:basedOn w:val="HeadingBase"/>
    <w:rsid w:val="00740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B21"/>
    <w:rPr>
      <w:color w:val="0033CC"/>
      <w:u w:val="none"/>
    </w:rPr>
  </w:style>
  <w:style w:type="paragraph" w:customStyle="1" w:styleId="BodyTextRight">
    <w:name w:val="Body Text Right"/>
    <w:basedOn w:val="BodyText"/>
    <w:rsid w:val="00740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B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B21"/>
    <w:rPr>
      <w:sz w:val="32"/>
    </w:rPr>
  </w:style>
  <w:style w:type="paragraph" w:customStyle="1" w:styleId="HeadingProcedure">
    <w:name w:val="Heading Procedure"/>
    <w:basedOn w:val="HeadingBase"/>
    <w:next w:val="Normal"/>
    <w:rsid w:val="00740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B21"/>
    <w:pPr>
      <w:spacing w:before="60" w:after="60"/>
    </w:pPr>
  </w:style>
  <w:style w:type="paragraph" w:styleId="ListContinue">
    <w:name w:val="List Continue"/>
    <w:basedOn w:val="List"/>
    <w:rsid w:val="00740B21"/>
    <w:pPr>
      <w:ind w:firstLine="0"/>
    </w:pPr>
  </w:style>
  <w:style w:type="paragraph" w:customStyle="1" w:styleId="ListNote">
    <w:name w:val="List Note"/>
    <w:basedOn w:val="List"/>
    <w:rsid w:val="00740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B21"/>
    <w:rPr>
      <w:rFonts w:ascii="Courier New" w:hAnsi="Courier New"/>
    </w:rPr>
  </w:style>
  <w:style w:type="paragraph" w:customStyle="1" w:styleId="NoteBullet">
    <w:name w:val="Note Bullet"/>
    <w:basedOn w:val="Note"/>
    <w:rsid w:val="00740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B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0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B21"/>
    <w:rPr>
      <w:b/>
      <w:smallCaps/>
    </w:rPr>
  </w:style>
  <w:style w:type="paragraph" w:customStyle="1" w:styleId="TableListNumber">
    <w:name w:val="Table List Number"/>
    <w:basedOn w:val="ListNumber"/>
    <w:rsid w:val="00740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B21"/>
    <w:pPr>
      <w:numPr>
        <w:numId w:val="8"/>
      </w:numPr>
    </w:pPr>
  </w:style>
  <w:style w:type="paragraph" w:customStyle="1" w:styleId="ListAlpha2">
    <w:name w:val="List Alpha 2"/>
    <w:basedOn w:val="List2"/>
    <w:rsid w:val="00740B21"/>
    <w:pPr>
      <w:numPr>
        <w:numId w:val="7"/>
      </w:numPr>
    </w:pPr>
  </w:style>
  <w:style w:type="paragraph" w:styleId="List2">
    <w:name w:val="List 2"/>
    <w:basedOn w:val="BodyText"/>
    <w:rsid w:val="00740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B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B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0B21"/>
    <w:pPr>
      <w:numPr>
        <w:numId w:val="3"/>
      </w:numPr>
    </w:pPr>
  </w:style>
  <w:style w:type="paragraph" w:styleId="ListContinue2">
    <w:name w:val="List Continue 2"/>
    <w:basedOn w:val="List2"/>
    <w:rsid w:val="00740B21"/>
    <w:pPr>
      <w:ind w:firstLine="0"/>
    </w:pPr>
  </w:style>
  <w:style w:type="paragraph" w:styleId="ListContinue3">
    <w:name w:val="List Continue 3"/>
    <w:basedOn w:val="List3"/>
    <w:rsid w:val="00740B21"/>
    <w:pPr>
      <w:ind w:left="1021" w:firstLine="0"/>
    </w:pPr>
  </w:style>
  <w:style w:type="paragraph" w:styleId="ListContinue4">
    <w:name w:val="List Continue 4"/>
    <w:basedOn w:val="List4"/>
    <w:rsid w:val="00740B21"/>
    <w:pPr>
      <w:ind w:firstLine="0"/>
    </w:pPr>
  </w:style>
  <w:style w:type="paragraph" w:styleId="ListContinue5">
    <w:name w:val="List Continue 5"/>
    <w:basedOn w:val="List5"/>
    <w:rsid w:val="00740B21"/>
    <w:pPr>
      <w:ind w:firstLine="0"/>
    </w:pPr>
  </w:style>
  <w:style w:type="paragraph" w:styleId="ListNumber3">
    <w:name w:val="List Number 3"/>
    <w:basedOn w:val="List3"/>
    <w:rsid w:val="00740B21"/>
    <w:pPr>
      <w:numPr>
        <w:numId w:val="4"/>
      </w:numPr>
    </w:pPr>
  </w:style>
  <w:style w:type="paragraph" w:styleId="ListNumber4">
    <w:name w:val="List Number 4"/>
    <w:basedOn w:val="List4"/>
    <w:rsid w:val="00740B21"/>
    <w:pPr>
      <w:numPr>
        <w:numId w:val="5"/>
      </w:numPr>
    </w:pPr>
  </w:style>
  <w:style w:type="paragraph" w:styleId="ListNumber5">
    <w:name w:val="List Number 5"/>
    <w:basedOn w:val="List5"/>
    <w:rsid w:val="00740B21"/>
    <w:pPr>
      <w:numPr>
        <w:numId w:val="6"/>
      </w:numPr>
    </w:pPr>
  </w:style>
  <w:style w:type="paragraph" w:styleId="BlockText">
    <w:name w:val="Block Text"/>
    <w:basedOn w:val="Normal"/>
    <w:rsid w:val="00740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B21"/>
    <w:rPr>
      <w:sz w:val="16"/>
      <w:vertAlign w:val="superscript"/>
    </w:rPr>
  </w:style>
  <w:style w:type="character" w:customStyle="1" w:styleId="Symbols">
    <w:name w:val="Symbols"/>
    <w:basedOn w:val="DefaultParagraphFont"/>
    <w:rsid w:val="00740B21"/>
    <w:rPr>
      <w:rFonts w:ascii="Symbol" w:hAnsi="Symbol"/>
    </w:rPr>
  </w:style>
  <w:style w:type="character" w:customStyle="1" w:styleId="MenuOptions">
    <w:name w:val="Menu Options"/>
    <w:basedOn w:val="DefaultParagraphFont"/>
    <w:rsid w:val="00740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B21"/>
    <w:rPr>
      <w:b/>
    </w:rPr>
  </w:style>
  <w:style w:type="character" w:customStyle="1" w:styleId="Underlined">
    <w:name w:val="Underlined"/>
    <w:basedOn w:val="DefaultParagraphFont"/>
    <w:rsid w:val="00740B21"/>
    <w:rPr>
      <w:u w:val="single"/>
    </w:rPr>
  </w:style>
  <w:style w:type="paragraph" w:customStyle="1" w:styleId="TableBodyTextRight">
    <w:name w:val="Table Body Text Right"/>
    <w:basedOn w:val="TableBodyText"/>
    <w:rsid w:val="00740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B21"/>
    <w:rPr>
      <w:sz w:val="18"/>
    </w:rPr>
  </w:style>
  <w:style w:type="paragraph" w:customStyle="1" w:styleId="BodySmallRight">
    <w:name w:val="Body Small Right"/>
    <w:basedOn w:val="BodyTextRight"/>
    <w:rsid w:val="00740B21"/>
    <w:rPr>
      <w:sz w:val="18"/>
      <w:szCs w:val="18"/>
    </w:rPr>
  </w:style>
  <w:style w:type="paragraph" w:customStyle="1" w:styleId="MarginEdition">
    <w:name w:val="Margin Edition"/>
    <w:basedOn w:val="MarginNote"/>
    <w:rsid w:val="00740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B21"/>
    <w:rPr>
      <w:sz w:val="2"/>
      <w:szCs w:val="2"/>
    </w:rPr>
  </w:style>
  <w:style w:type="character" w:customStyle="1" w:styleId="Small">
    <w:name w:val="Small"/>
    <w:basedOn w:val="DefaultParagraphFont"/>
    <w:rsid w:val="00740B21"/>
    <w:rPr>
      <w:sz w:val="16"/>
    </w:rPr>
  </w:style>
  <w:style w:type="paragraph" w:customStyle="1" w:styleId="WideTable">
    <w:name w:val="Wide Table"/>
    <w:basedOn w:val="Normal"/>
    <w:rsid w:val="00740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B21"/>
  </w:style>
  <w:style w:type="paragraph" w:styleId="Quote">
    <w:name w:val="Quote"/>
    <w:basedOn w:val="Heading1"/>
    <w:link w:val="QuoteChar"/>
    <w:qFormat/>
    <w:rsid w:val="00740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B21"/>
    <w:pPr>
      <w:pageBreakBefore/>
    </w:pPr>
  </w:style>
  <w:style w:type="paragraph" w:customStyle="1" w:styleId="Border">
    <w:name w:val="Border"/>
    <w:basedOn w:val="Normal"/>
    <w:qFormat/>
    <w:rsid w:val="00740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B21"/>
    <w:rPr>
      <w:u w:val="single"/>
    </w:rPr>
  </w:style>
  <w:style w:type="character" w:customStyle="1" w:styleId="BoldandItalics">
    <w:name w:val="Bold and Italics"/>
    <w:qFormat/>
    <w:rsid w:val="00740B21"/>
    <w:rPr>
      <w:b/>
      <w:i/>
      <w:u w:val="none"/>
    </w:rPr>
  </w:style>
  <w:style w:type="paragraph" w:styleId="BalloonText">
    <w:name w:val="Balloon Text"/>
    <w:basedOn w:val="Normal"/>
    <w:link w:val="BalloonTextChar"/>
    <w:rsid w:val="00740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B21"/>
    <w:pPr>
      <w:spacing w:before="0" w:after="0"/>
    </w:pPr>
  </w:style>
  <w:style w:type="paragraph" w:customStyle="1" w:styleId="BodyTextBold">
    <w:name w:val="Body Text Bold"/>
    <w:basedOn w:val="BodyText"/>
    <w:qFormat/>
    <w:rsid w:val="00740B21"/>
    <w:rPr>
      <w:b/>
    </w:rPr>
  </w:style>
  <w:style w:type="character" w:styleId="Hyperlink">
    <w:name w:val="Hyperlink"/>
    <w:basedOn w:val="DefaultParagraphFont"/>
    <w:uiPriority w:val="99"/>
    <w:unhideWhenUsed/>
    <w:rsid w:val="00820B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5066</Characters>
  <Application>Microsoft Office Word</Application>
  <DocSecurity>0</DocSecurity>
  <Lines>202</Lines>
  <Paragraphs>114</Paragraphs>
  <ScaleCrop>false</ScaleCrop>
  <Company>Author-it Software Corporation Ltd.</Company>
  <LinksUpToDate>false</LinksUpToDate>
  <CharactersWithSpaces>5743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UEEEL0047 Identify, shut down and restart systems with alternate supplies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