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2C4" w:rsidP="00557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UEEEL0047 Identify, shut down and restart systems with alternate supplies</w:t>
      </w:r>
      <w:r>
        <w:fldChar w:fldCharType="end"/>
      </w:r>
    </w:p>
    <w:p w:rsidR="005572C4" w:rsidP="005572C4">
      <w:pPr>
        <w:pStyle w:val="Version"/>
        <w:sectPr w:rsidSect="00705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524F" w:rsidP="0070524F">
      <w:pPr>
        <w:pStyle w:val="SuperHeading"/>
      </w:pPr>
      <w:r w:rsidRPr="0070524F">
        <w:t>Assessment Requirements for UEEEL0047 Identify, shut down and restart systems with alternate supplies</w:t>
      </w:r>
    </w:p>
    <w:p w:rsidR="00000000" w:rsidRPr="0070524F" w:rsidP="0070524F">
      <w:pPr>
        <w:pStyle w:val="Heading1"/>
      </w:pPr>
      <w:bookmarkStart w:id="1" w:name="O_1238171"/>
      <w:bookmarkEnd w:id="1"/>
      <w:r w:rsidRPr="007052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4F" w:rsidP="0070524F">
            <w:pPr>
              <w:pStyle w:val="BodyText"/>
            </w:pPr>
            <w:r w:rsidRPr="0070524F">
              <w:t>Release 2. This is the second release of this unit of competency in the UEE Electrotechnology Training Package.</w:t>
            </w:r>
          </w:p>
          <w:p w:rsidR="00000000" w:rsidP="0070524F">
            <w:pPr>
              <w:pStyle w:val="BodyText"/>
              <w:rPr>
                <w:lang w:val="en-NZ"/>
              </w:rPr>
            </w:pPr>
            <w:r w:rsidRPr="0070524F">
              <w:t>Assessor requirements updated in Assessment Conditions.</w:t>
            </w:r>
          </w:p>
        </w:tc>
      </w:tr>
      <w:tr w:rsidTr="00705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4F" w:rsidP="0070524F">
            <w:pPr>
              <w:pStyle w:val="BodyText"/>
            </w:pPr>
            <w:r w:rsidRPr="0070524F">
              <w:t>Release 1. This is the first release of this unit of competency in the UEE Electrotechnology Training Package.</w:t>
            </w:r>
          </w:p>
        </w:tc>
      </w:tr>
    </w:tbl>
    <w:p w:rsidR="00000000" w:rsidRPr="0070524F" w:rsidP="0070524F">
      <w:pPr>
        <w:pStyle w:val="NoPaddingFontSize1"/>
      </w:pPr>
    </w:p>
    <w:p w:rsidR="00000000" w:rsidRPr="0070524F" w:rsidP="0070524F">
      <w:pPr>
        <w:pStyle w:val="AllowPageBreak"/>
      </w:pPr>
    </w:p>
    <w:p w:rsidR="00000000" w:rsidRPr="0070524F" w:rsidP="0070524F">
      <w:pPr>
        <w:pStyle w:val="Heading1"/>
      </w:pPr>
      <w:bookmarkStart w:id="2" w:name="O_1238170"/>
      <w:bookmarkEnd w:id="2"/>
      <w:r w:rsidRPr="007052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4F">
            <w:pPr>
              <w:pStyle w:val="BodyText"/>
              <w:rPr>
                <w:lang w:val="en-NZ"/>
              </w:rPr>
            </w:pPr>
            <w:r w:rsidRPr="0070524F">
              <w:t>Evidence required to demonstrate competence in</w:t>
            </w:r>
            <w:r w:rsidRPr="0070524F">
              <w:t xml:space="preserve"> this unit must be relevant to and satisfy all of the requirements of the elements, performance criteria and range of conditions on at least two separate occasions and include: </w:t>
            </w:r>
          </w:p>
        </w:tc>
      </w:tr>
      <w:tr w:rsidTr="00705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4F" w:rsidP="0070524F">
            <w:pPr>
              <w:pStyle w:val="ListBullet"/>
            </w:pPr>
            <w:r w:rsidRPr="0070524F">
              <w:t>applying work health and safety (WHS)/occupational health and safety (OHS) w</w:t>
            </w:r>
            <w:r w:rsidRPr="0070524F">
              <w:t>orkplace procedures</w:t>
            </w:r>
          </w:p>
          <w:p w:rsidR="00000000" w:rsidRPr="0070524F" w:rsidP="0070524F">
            <w:pPr>
              <w:pStyle w:val="ListBullet"/>
            </w:pPr>
            <w:r w:rsidRPr="0070524F">
              <w:t>identifying and assessing hazards and risks, including hazards based on supply system labelling, and implementing control measures</w:t>
            </w:r>
          </w:p>
          <w:p w:rsidR="00000000" w:rsidRPr="0070524F" w:rsidP="0070524F">
            <w:pPr>
              <w:pStyle w:val="ListBullet"/>
            </w:pPr>
            <w:r w:rsidRPr="0070524F">
              <w:t>obtaining and checking required tools, equipment and testing devices</w:t>
            </w:r>
          </w:p>
          <w:p w:rsidR="00000000" w:rsidRPr="0070524F" w:rsidP="0070524F">
            <w:pPr>
              <w:pStyle w:val="ListBullet"/>
            </w:pPr>
            <w:r w:rsidRPr="0070524F">
              <w:t>reading and interpreting electrical documentation, labelling and drawings</w:t>
            </w:r>
          </w:p>
          <w:p w:rsidR="00000000" w:rsidRPr="0070524F" w:rsidP="0070524F">
            <w:pPr>
              <w:pStyle w:val="ListBullet"/>
            </w:pPr>
            <w:r w:rsidRPr="0070524F">
              <w:t>identifying alternative supply arrangements and configurations</w:t>
            </w:r>
          </w:p>
          <w:p w:rsidR="00000000" w:rsidRPr="0070524F" w:rsidP="0070524F">
            <w:pPr>
              <w:pStyle w:val="ListBullet"/>
            </w:pPr>
            <w:r w:rsidRPr="0070524F">
              <w:t>applying safe shutdown procedures</w:t>
            </w:r>
          </w:p>
          <w:p w:rsidR="00000000" w:rsidRPr="0070524F" w:rsidP="0070524F">
            <w:pPr>
              <w:pStyle w:val="ListBullet"/>
            </w:pPr>
            <w:r w:rsidRPr="0070524F">
              <w:t>isolating energy sources in accordance with workplace procedures and regulatory requi</w:t>
            </w:r>
            <w:r w:rsidRPr="0070524F">
              <w:t>rements, including:</w:t>
            </w:r>
          </w:p>
          <w:p w:rsidR="00000000" w:rsidRPr="0070524F" w:rsidP="0070524F">
            <w:pPr>
              <w:pStyle w:val="ListBullet2"/>
            </w:pPr>
            <w:r w:rsidRPr="0070524F">
              <w:t>applying safe isolation practices</w:t>
            </w:r>
          </w:p>
          <w:p w:rsidR="00000000" w:rsidRPr="0070524F" w:rsidP="0070524F">
            <w:pPr>
              <w:pStyle w:val="ListBullet2"/>
            </w:pPr>
            <w:r w:rsidRPr="0070524F">
              <w:t>identifying correct isolation device</w:t>
            </w:r>
          </w:p>
          <w:p w:rsidR="00000000" w:rsidRPr="0070524F" w:rsidP="0070524F">
            <w:pPr>
              <w:pStyle w:val="ListBullet2"/>
            </w:pPr>
            <w:r w:rsidRPr="0070524F">
              <w:t>identifying and checking operation of control device/s</w:t>
            </w:r>
          </w:p>
          <w:p w:rsidR="00000000" w:rsidRPr="0070524F" w:rsidP="0070524F">
            <w:pPr>
              <w:pStyle w:val="ListBullet2"/>
            </w:pPr>
            <w:r w:rsidRPr="0070524F">
              <w:t>identifying live conductors</w:t>
            </w:r>
          </w:p>
          <w:p w:rsidR="00000000" w:rsidRPr="0070524F" w:rsidP="0070524F">
            <w:pPr>
              <w:pStyle w:val="ListBullet2"/>
            </w:pPr>
            <w:r w:rsidRPr="0070524F">
              <w:t>identifying known source of electromotive force (EMF) for testing purposes</w:t>
            </w:r>
          </w:p>
          <w:p w:rsidR="00000000" w:rsidRPr="0070524F" w:rsidP="0070524F">
            <w:pPr>
              <w:pStyle w:val="ListBullet2"/>
            </w:pPr>
            <w:r w:rsidRPr="0070524F">
              <w:t>correc</w:t>
            </w:r>
            <w:r w:rsidRPr="0070524F">
              <w:t>tly using a voltage tester</w:t>
            </w:r>
          </w:p>
          <w:p w:rsidR="00000000" w:rsidRPr="0070524F" w:rsidP="0070524F">
            <w:pPr>
              <w:pStyle w:val="ListBullet2"/>
            </w:pPr>
            <w:r w:rsidRPr="0070524F">
              <w:t>isolating multiple supplies, where required</w:t>
            </w:r>
          </w:p>
          <w:p w:rsidR="00000000" w:rsidRPr="0070524F" w:rsidP="0070524F">
            <w:pPr>
              <w:pStyle w:val="ListBullet2"/>
            </w:pPr>
            <w:r w:rsidRPr="0070524F">
              <w:t>isolating under no loads</w:t>
            </w:r>
          </w:p>
          <w:p w:rsidR="00000000" w:rsidRPr="0070524F" w:rsidP="0070524F">
            <w:pPr>
              <w:pStyle w:val="ListBullet2"/>
            </w:pPr>
            <w:r w:rsidRPr="0070524F">
              <w:t>ensuring all energy sources are isolated</w:t>
            </w:r>
          </w:p>
          <w:p w:rsidR="00000000" w:rsidRPr="0070524F" w:rsidP="0070524F">
            <w:pPr>
              <w:pStyle w:val="ListBullet2"/>
            </w:pPr>
            <w:r w:rsidRPr="0070524F">
              <w:t>de-energising charging sources, including:</w:t>
            </w:r>
          </w:p>
          <w:p w:rsidR="00000000" w:rsidRPr="0070524F" w:rsidP="0070524F">
            <w:pPr>
              <w:pStyle w:val="ListBullet3"/>
            </w:pPr>
            <w:r w:rsidRPr="0070524F">
              <w:t>solar charge controllers</w:t>
            </w:r>
          </w:p>
          <w:p w:rsidR="00000000" w:rsidRPr="0070524F" w:rsidP="0070524F">
            <w:pPr>
              <w:pStyle w:val="ListBullet3"/>
            </w:pPr>
            <w:r w:rsidRPr="0070524F">
              <w:t>battery chargers</w:t>
            </w:r>
          </w:p>
          <w:p w:rsidR="00000000" w:rsidRPr="0070524F" w:rsidP="0070524F">
            <w:pPr>
              <w:pStyle w:val="ListBullet2"/>
            </w:pPr>
            <w:r w:rsidRPr="0070524F">
              <w:t>proving systems are isolated</w:t>
            </w:r>
          </w:p>
          <w:p w:rsidR="00000000" w:rsidRPr="0070524F" w:rsidP="0070524F">
            <w:pPr>
              <w:pStyle w:val="ListBullet2"/>
            </w:pPr>
            <w:r w:rsidRPr="0070524F">
              <w:t>tagging-out all supplies</w:t>
            </w:r>
          </w:p>
          <w:p w:rsidR="00000000" w:rsidRPr="0070524F" w:rsidP="0070524F">
            <w:pPr>
              <w:pStyle w:val="ListBullet"/>
            </w:pPr>
            <w:r w:rsidRPr="0070524F">
              <w:t>ensuring all installation work complies with relevant industry standards and legislation to which the selection, installation and control equipment of each type of system must comply</w:t>
            </w:r>
          </w:p>
          <w:p w:rsidR="00000000" w:rsidRPr="0070524F" w:rsidP="0070524F">
            <w:pPr>
              <w:pStyle w:val="ListBullet"/>
            </w:pPr>
            <w:r w:rsidRPr="0070524F">
              <w:t>checking battery storage system integrity is in accordance with industry standards and regulatory and manufacturer requirements, including ventilation, correct isolation devices and installation position</w:t>
            </w:r>
          </w:p>
          <w:p w:rsidR="00000000" w:rsidRPr="0070524F" w:rsidP="0070524F">
            <w:pPr>
              <w:pStyle w:val="ListBullet"/>
            </w:pPr>
            <w:r w:rsidRPr="0070524F">
              <w:t>safely re-instating generation system to operational</w:t>
            </w:r>
            <w:r w:rsidRPr="0070524F">
              <w:t xml:space="preserve"> mode according to site documentation and manufacturer instructions</w:t>
            </w:r>
          </w:p>
          <w:p w:rsidR="00000000" w:rsidRPr="0070524F" w:rsidP="0070524F">
            <w:pPr>
              <w:pStyle w:val="ListBullet"/>
            </w:pPr>
            <w:r w:rsidRPr="0070524F">
              <w:t>completing required documentation and forwarding to relevant parties.</w:t>
            </w:r>
          </w:p>
        </w:tc>
      </w:tr>
    </w:tbl>
    <w:p w:rsidR="005572C4" w:rsidP="0070524F">
      <w:pPr>
        <w:pStyle w:val="NoPaddingFontSize1"/>
      </w:pPr>
    </w:p>
    <w:p w:rsidR="005572C4" w:rsidP="0070524F">
      <w:pPr>
        <w:pStyle w:val="NoPaddingFontSize1"/>
      </w:pPr>
    </w:p>
    <w:p w:rsidR="00000000" w:rsidRPr="0070524F" w:rsidP="0070524F">
      <w:pPr>
        <w:pStyle w:val="Heading1"/>
      </w:pPr>
      <w:bookmarkStart w:id="3" w:name="O_1238169"/>
      <w:bookmarkEnd w:id="3"/>
      <w:r w:rsidRPr="007052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24F">
            <w:pPr>
              <w:pStyle w:val="BodyText"/>
              <w:rPr>
                <w:lang w:val="en-NZ"/>
              </w:rPr>
            </w:pPr>
            <w:r w:rsidRPr="0070524F">
              <w:t xml:space="preserve">Evidence required to demonstrate competence in this unit must be relevant to </w:t>
            </w:r>
            <w:r w:rsidRPr="0070524F">
              <w:t xml:space="preserve">and satisfy all of the requirements of the elements, performance criteria and range of conditions and include knowledge of: </w:t>
            </w:r>
          </w:p>
        </w:tc>
      </w:tr>
      <w:tr w:rsidTr="00705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4F" w:rsidP="0070524F">
            <w:pPr>
              <w:pStyle w:val="ListBullet"/>
            </w:pPr>
            <w:r w:rsidRPr="0070524F">
              <w:t>working safely with alternate supplies, including identifying hazards and controlling risks in compliance with regulatory and ent</w:t>
            </w:r>
            <w:r w:rsidRPr="0070524F">
              <w:t xml:space="preserve">erprise requirements </w:t>
            </w:r>
          </w:p>
          <w:p w:rsidR="00000000" w:rsidRPr="0070524F" w:rsidP="0070524F">
            <w:pPr>
              <w:pStyle w:val="ListBullet"/>
            </w:pPr>
            <w:r w:rsidRPr="0070524F">
              <w:t>main types, arrangements and configurations of alternative supplies (generating system), including renewable and non-renewable generating systems</w:t>
            </w:r>
          </w:p>
          <w:p w:rsidR="00000000" w:rsidRPr="0070524F" w:rsidP="0070524F">
            <w:pPr>
              <w:pStyle w:val="ListBullet"/>
            </w:pPr>
            <w:r w:rsidRPr="0070524F">
              <w:t>fundamental requirements, including:</w:t>
            </w:r>
          </w:p>
          <w:p w:rsidR="00000000" w:rsidRPr="0070524F" w:rsidP="0070524F">
            <w:pPr>
              <w:pStyle w:val="ListBullet2"/>
            </w:pPr>
            <w:r w:rsidRPr="0070524F">
              <w:t>connection methods of alternative supplies</w:t>
            </w:r>
          </w:p>
          <w:p w:rsidR="00000000" w:rsidRPr="0070524F" w:rsidP="0070524F">
            <w:pPr>
              <w:pStyle w:val="ListBullet2"/>
            </w:pPr>
            <w:r w:rsidRPr="0070524F">
              <w:t>local supply authority requirements</w:t>
            </w:r>
          </w:p>
          <w:p w:rsidR="00000000" w:rsidRPr="0070524F" w:rsidP="0070524F">
            <w:pPr>
              <w:pStyle w:val="ListBullet2"/>
            </w:pPr>
            <w:r w:rsidRPr="0070524F">
              <w:t>characteristics and operation of uninterruptable power supplies (UPS)</w:t>
            </w:r>
          </w:p>
          <w:p w:rsidR="00000000" w:rsidRPr="0070524F" w:rsidP="0070524F">
            <w:pPr>
              <w:pStyle w:val="ListBullet2"/>
            </w:pPr>
            <w:r w:rsidRPr="0070524F">
              <w:t>direct current (d.c.) polarity requirements, including switching, correct rating of d.c. switches and protection devices</w:t>
            </w:r>
          </w:p>
          <w:p w:rsidR="00000000" w:rsidRPr="0070524F" w:rsidP="0070524F">
            <w:pPr>
              <w:pStyle w:val="ListBullet2"/>
            </w:pPr>
            <w:r w:rsidRPr="0070524F">
              <w:t>importance of replacing compo</w:t>
            </w:r>
            <w:r w:rsidRPr="0070524F">
              <w:t>nents like-for-like</w:t>
            </w:r>
          </w:p>
          <w:p w:rsidR="00000000" w:rsidRPr="0070524F" w:rsidP="0070524F">
            <w:pPr>
              <w:pStyle w:val="ListBullet2"/>
            </w:pPr>
            <w:r w:rsidRPr="0070524F">
              <w:t>inverter principles, including operation and interaction with the installation, anti-islanding and islanding requirements and testing requirements</w:t>
            </w:r>
          </w:p>
          <w:p w:rsidR="00000000" w:rsidRPr="0070524F" w:rsidP="0070524F">
            <w:pPr>
              <w:pStyle w:val="ListBullet2"/>
            </w:pPr>
            <w:r w:rsidRPr="0070524F">
              <w:t>identification and labelling requirements and their purpose</w:t>
            </w:r>
          </w:p>
          <w:p w:rsidR="00000000" w:rsidRPr="0070524F" w:rsidP="0070524F">
            <w:pPr>
              <w:pStyle w:val="ListBullet2"/>
            </w:pPr>
            <w:r w:rsidRPr="0070524F">
              <w:t>arrangement for connecting an</w:t>
            </w:r>
            <w:r w:rsidRPr="0070524F">
              <w:t xml:space="preserve"> alternative supply to an installation, including automatic and manual changeover switches, multiple main switches and switchboard wiring</w:t>
            </w:r>
          </w:p>
          <w:p w:rsidR="00000000" w:rsidRPr="0070524F" w:rsidP="0070524F">
            <w:pPr>
              <w:pStyle w:val="ListBullet2"/>
            </w:pPr>
            <w:r w:rsidRPr="0070524F">
              <w:t xml:space="preserve">earthing arrangements, including equipotential bonding, and earthing methods and requirements for stand-alone systems </w:t>
            </w:r>
            <w:r w:rsidRPr="0070524F">
              <w:t>and generators</w:t>
            </w:r>
          </w:p>
          <w:p w:rsidR="00000000" w:rsidRPr="0070524F" w:rsidP="0070524F">
            <w:pPr>
              <w:pStyle w:val="ListBullet"/>
            </w:pPr>
            <w:r w:rsidRPr="0070524F">
              <w:t>safe isolation of the generator/energy source, including:</w:t>
            </w:r>
          </w:p>
          <w:p w:rsidR="00000000" w:rsidRPr="0070524F" w:rsidP="0070524F">
            <w:pPr>
              <w:pStyle w:val="ListBullet2"/>
            </w:pPr>
            <w:r w:rsidRPr="0070524F">
              <w:t>anti-islanding</w:t>
            </w:r>
          </w:p>
          <w:p w:rsidR="00000000" w:rsidRPr="0070524F" w:rsidP="0070524F">
            <w:pPr>
              <w:pStyle w:val="ListBullet2"/>
            </w:pPr>
            <w:r w:rsidRPr="0070524F">
              <w:t>auto changeover/auto start</w:t>
            </w:r>
          </w:p>
          <w:p w:rsidR="00000000" w:rsidRPr="0070524F" w:rsidP="0070524F">
            <w:pPr>
              <w:pStyle w:val="ListBullet2"/>
            </w:pPr>
            <w:r w:rsidRPr="0070524F">
              <w:t>backup – external power supply (EPS)/UPS mode or backup mode</w:t>
            </w:r>
          </w:p>
          <w:p w:rsidR="00000000" w:rsidRPr="0070524F" w:rsidP="0070524F">
            <w:pPr>
              <w:pStyle w:val="ListBullet2"/>
            </w:pPr>
            <w:r w:rsidRPr="0070524F">
              <w:t>earth fault alarm</w:t>
            </w:r>
          </w:p>
          <w:p w:rsidR="00000000" w:rsidRPr="0070524F" w:rsidP="0070524F">
            <w:pPr>
              <w:pStyle w:val="ListBullet2"/>
            </w:pPr>
            <w:r w:rsidRPr="0070524F">
              <w:t>voltage rise</w:t>
            </w:r>
          </w:p>
          <w:p w:rsidR="00000000" w:rsidRPr="0070524F" w:rsidP="0070524F">
            <w:pPr>
              <w:pStyle w:val="ListBullet2"/>
            </w:pPr>
            <w:r w:rsidRPr="0070524F">
              <w:t>voltage parameters AS/NZS 4777 Grid connection of energy systems via inverters</w:t>
            </w:r>
          </w:p>
          <w:p w:rsidR="00000000" w:rsidRPr="0070524F" w:rsidP="0070524F">
            <w:pPr>
              <w:pStyle w:val="ListBullet2"/>
            </w:pPr>
            <w:r w:rsidRPr="0070524F">
              <w:t>no loads</w:t>
            </w:r>
          </w:p>
          <w:p w:rsidR="00000000" w:rsidRPr="0070524F" w:rsidP="0070524F">
            <w:pPr>
              <w:pStyle w:val="ListBullet2"/>
            </w:pPr>
            <w:r w:rsidRPr="0070524F">
              <w:t>deenergising charging sources such as solar charge controllers, and battery chargers</w:t>
            </w:r>
          </w:p>
          <w:p w:rsidR="00000000" w:rsidRPr="0070524F" w:rsidP="0070524F">
            <w:pPr>
              <w:pStyle w:val="ListBullet2"/>
            </w:pPr>
            <w:r w:rsidRPr="0070524F">
              <w:t>AS/NZ 4836 Safe working on or near low-voltage electrical installations and equipme</w:t>
            </w:r>
            <w:r w:rsidRPr="0070524F">
              <w:t>nt</w:t>
            </w:r>
          </w:p>
          <w:p w:rsidR="00000000" w:rsidRPr="0070524F" w:rsidP="0070524F">
            <w:pPr>
              <w:pStyle w:val="ListBullet"/>
            </w:pPr>
            <w:r w:rsidRPr="0070524F">
              <w:t>labelling and identification of alternate supply systems</w:t>
            </w:r>
          </w:p>
          <w:p w:rsidR="00000000" w:rsidRPr="0070524F" w:rsidP="0070524F">
            <w:pPr>
              <w:pStyle w:val="ListBullet"/>
            </w:pPr>
            <w:r w:rsidRPr="0070524F">
              <w:t>battery storage systems, including regulatory and manufacturer requirements</w:t>
            </w:r>
          </w:p>
          <w:p w:rsidR="00000000" w:rsidRPr="0070524F" w:rsidP="0070524F">
            <w:pPr>
              <w:pStyle w:val="ListBullet"/>
            </w:pPr>
            <w:r w:rsidRPr="0070524F">
              <w:t>relevant industry standards to which the selection, installation and control equipment of each type of system must comp</w:t>
            </w:r>
            <w:r w:rsidRPr="0070524F">
              <w:t>ly, including:</w:t>
            </w:r>
          </w:p>
          <w:p w:rsidR="00000000" w:rsidRPr="0070524F" w:rsidP="0070524F">
            <w:pPr>
              <w:pStyle w:val="ListBullet2"/>
            </w:pPr>
            <w:r w:rsidRPr="0070524F">
              <w:t>AS/NZS 3000 Electrical installations (known as the Australian/New Zealand Wiring Rules) relating to the requirements for electricity generation systems installation and electricity converters</w:t>
            </w:r>
          </w:p>
          <w:p w:rsidR="00000000" w:rsidRPr="0070524F" w:rsidP="0070524F">
            <w:pPr>
              <w:pStyle w:val="ListBullet2"/>
            </w:pPr>
            <w:r w:rsidRPr="0070524F">
              <w:t>AS/NZS 4777(series) Grid connection of energy sy</w:t>
            </w:r>
            <w:r w:rsidRPr="0070524F">
              <w:t xml:space="preserve">stems via inverters </w:t>
            </w:r>
          </w:p>
          <w:p w:rsidR="00000000" w:rsidRPr="0070524F" w:rsidP="0070524F">
            <w:pPr>
              <w:pStyle w:val="ListBullet2"/>
            </w:pPr>
            <w:r w:rsidRPr="0070524F">
              <w:t xml:space="preserve">AS/NZS 5033 Installation and safety requirements for photovoltaic (PV) arrays </w:t>
            </w:r>
          </w:p>
          <w:p w:rsidR="00000000" w:rsidRPr="0070524F" w:rsidP="0070524F">
            <w:pPr>
              <w:pStyle w:val="ListBullet2"/>
            </w:pPr>
            <w:r w:rsidRPr="0070524F">
              <w:t>AS/NZS 3010 Electrical installations - generating sets</w:t>
            </w:r>
          </w:p>
          <w:p w:rsidR="00000000" w:rsidRPr="0070524F" w:rsidP="0070524F">
            <w:pPr>
              <w:pStyle w:val="ListBullet2"/>
            </w:pPr>
            <w:r w:rsidRPr="0070524F">
              <w:t>AS/NZS 4509 (series) Stand-alone power systems</w:t>
            </w:r>
          </w:p>
          <w:p w:rsidR="00000000" w:rsidRPr="0070524F" w:rsidP="0070524F">
            <w:pPr>
              <w:pStyle w:val="ListBullet2"/>
            </w:pPr>
            <w:r w:rsidRPr="0070524F">
              <w:t>AS 3011 Electrical installations - Secondary batteries</w:t>
            </w:r>
            <w:r w:rsidRPr="0070524F">
              <w:t xml:space="preserve"> installed in buildings </w:t>
            </w:r>
          </w:p>
          <w:p w:rsidR="00000000" w:rsidRPr="0070524F" w:rsidP="0070524F">
            <w:pPr>
              <w:pStyle w:val="ListBullet2"/>
            </w:pPr>
            <w:r w:rsidRPr="0070524F">
              <w:t>AS/NZS 5139 Electrical installations - Safety of battery systems for use with power conversion equipment</w:t>
            </w:r>
          </w:p>
          <w:p w:rsidR="00000000" w:rsidRPr="0070524F" w:rsidP="0070524F">
            <w:pPr>
              <w:pStyle w:val="ListBullet"/>
            </w:pPr>
            <w:r w:rsidRPr="0070524F">
              <w:t>site and regulatory documentation requirements.</w:t>
            </w:r>
          </w:p>
        </w:tc>
      </w:tr>
    </w:tbl>
    <w:p w:rsidR="00000000" w:rsidRPr="0070524F" w:rsidP="0070524F">
      <w:pPr>
        <w:pStyle w:val="NoPaddingFontSize1"/>
      </w:pPr>
    </w:p>
    <w:p w:rsidR="00000000" w:rsidRPr="0070524F" w:rsidP="0070524F">
      <w:pPr>
        <w:pStyle w:val="AllowPageBreak"/>
      </w:pPr>
    </w:p>
    <w:p w:rsidR="00000000" w:rsidRPr="0070524F" w:rsidP="0070524F">
      <w:pPr>
        <w:pStyle w:val="Heading1"/>
      </w:pPr>
      <w:bookmarkStart w:id="4" w:name="O_1238168"/>
      <w:bookmarkEnd w:id="4"/>
      <w:r w:rsidRPr="007052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52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24F" w:rsidP="0070524F">
            <w:pPr>
              <w:pStyle w:val="BodyText"/>
            </w:pPr>
            <w:r w:rsidRPr="0070524F">
              <w:t>Assessors must hold credentials specified within the Standards for Registered Training Organisations current at the time of assessment.</w:t>
            </w:r>
          </w:p>
          <w:p w:rsidR="00000000" w:rsidRPr="0070524F" w:rsidP="0070524F">
            <w:pPr>
              <w:pStyle w:val="BodyText"/>
            </w:pPr>
            <w:r w:rsidRPr="0070524F">
              <w:t>Assessors must also hold the occupational licence for the jurisdiction the assessment is occurring where the activity be</w:t>
            </w:r>
            <w:r w:rsidRPr="0070524F">
              <w:t>ing assessed requires a licence to practice.</w:t>
            </w:r>
          </w:p>
          <w:p w:rsidR="00000000" w:rsidRPr="0070524F" w:rsidP="0070524F">
            <w:pPr>
              <w:pStyle w:val="BodyText"/>
            </w:pPr>
            <w:r w:rsidRPr="0070524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0524F" w:rsidP="0070524F">
            <w:pPr>
              <w:pStyle w:val="BodyText"/>
            </w:pPr>
            <w:r w:rsidRPr="0070524F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0524F" w:rsidP="0070524F">
            <w:pPr>
              <w:pStyle w:val="BodyText"/>
            </w:pPr>
            <w:r w:rsidRPr="0070524F">
              <w:t>Assessment processes and tec</w:t>
            </w:r>
            <w:r w:rsidRPr="0070524F">
              <w:t>hniques must be appropriate to the language, literacy and numeracy requirements of the work being performed and the needs of the candidate.</w:t>
            </w:r>
          </w:p>
          <w:p w:rsidR="00000000" w:rsidRPr="0070524F" w:rsidP="0070524F">
            <w:pPr>
              <w:pStyle w:val="BodyText"/>
            </w:pPr>
            <w:r w:rsidRPr="0070524F">
              <w:t>Resources for assessment must include access to:</w:t>
            </w:r>
          </w:p>
          <w:p w:rsidR="00000000" w:rsidRPr="0070524F" w:rsidP="0070524F">
            <w:pPr>
              <w:pStyle w:val="ListBullet"/>
            </w:pPr>
            <w:r w:rsidRPr="0070524F">
              <w:t>a range of relevant exercises, case studies and/or other simulatio</w:t>
            </w:r>
            <w:r w:rsidRPr="0070524F">
              <w:t>ns</w:t>
            </w:r>
          </w:p>
          <w:p w:rsidR="00000000" w:rsidRPr="0070524F" w:rsidP="0070524F">
            <w:pPr>
              <w:pStyle w:val="ListBullet"/>
            </w:pPr>
            <w:r w:rsidRPr="0070524F">
              <w:t xml:space="preserve">relevant and appropriate materials, tools, equipment and personal protective equipment (PPE) currently used in industry </w:t>
            </w:r>
          </w:p>
          <w:p w:rsidR="00000000" w:rsidRPr="0070524F" w:rsidP="0070524F">
            <w:pPr>
              <w:pStyle w:val="ListBullet"/>
            </w:pPr>
            <w:r w:rsidRPr="0070524F">
              <w:t>applicable documentation, including workplace procedures, equipment specifications, manufacturer instructions, regulations, codes of</w:t>
            </w:r>
            <w:r w:rsidRPr="0070524F">
              <w:t xml:space="preserve"> practice and operation manuals.</w:t>
            </w:r>
          </w:p>
        </w:tc>
      </w:tr>
    </w:tbl>
    <w:p w:rsidR="00000000" w:rsidRPr="0070524F" w:rsidP="0070524F">
      <w:pPr>
        <w:pStyle w:val="NoPaddingFontSize1"/>
      </w:pPr>
    </w:p>
    <w:p w:rsidR="00000000" w:rsidRPr="0070524F" w:rsidP="0070524F">
      <w:pPr>
        <w:pStyle w:val="AllowPageBreak"/>
      </w:pPr>
    </w:p>
    <w:p w:rsidR="00000000" w:rsidRPr="0070524F" w:rsidP="0070524F">
      <w:pPr>
        <w:pStyle w:val="Heading1"/>
      </w:pPr>
      <w:bookmarkStart w:id="5" w:name="O_1238183"/>
      <w:bookmarkEnd w:id="5"/>
      <w:r w:rsidRPr="0070524F">
        <w:t>Links</w:t>
      </w:r>
    </w:p>
    <w:p w:rsidR="00000000" w:rsidRPr="0070524F" w:rsidP="005572C4">
      <w:pPr>
        <w:pStyle w:val="BodyText"/>
      </w:pPr>
      <w:r w:rsidRPr="007052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E2C6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0524F" w:rsidP="0070524F"/>
    <w:sectPr w:rsidSect="007052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4F" w:rsidRPr="005572C4" w:rsidP="00557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C4" w:rsidP="00705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2C4" w:rsidP="00705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572C4" w:rsidP="007052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24F" w:rsidRPr="005572C4" w:rsidP="00557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C4" w:rsidRPr="002D2AF8" w:rsidP="00705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UEEEL0047 Identify, shut down and restart systems with alternate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572C4" w:rsidP="007052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90B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F64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289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24F"/>
  </w:style>
  <w:style w:type="character" w:customStyle="1" w:styleId="Heading1Char">
    <w:name w:val="Heading 1 Char"/>
    <w:basedOn w:val="DefaultParagraphFont"/>
    <w:link w:val="Heading1"/>
    <w:rsid w:val="00705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2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24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52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5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524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5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2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2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524F"/>
    <w:rPr>
      <w:b/>
      <w:spacing w:val="0"/>
    </w:rPr>
  </w:style>
  <w:style w:type="paragraph" w:customStyle="1" w:styleId="SuperTitle">
    <w:name w:val="SuperTitle"/>
    <w:basedOn w:val="Title"/>
    <w:rsid w:val="00705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2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24F"/>
    <w:rPr>
      <w:i/>
    </w:rPr>
  </w:style>
  <w:style w:type="paragraph" w:styleId="Caption">
    <w:name w:val="caption"/>
    <w:basedOn w:val="BodyText"/>
    <w:next w:val="Normal"/>
    <w:qFormat/>
    <w:rsid w:val="00705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24F"/>
  </w:style>
  <w:style w:type="paragraph" w:styleId="TableofFigures">
    <w:name w:val="table of figures"/>
    <w:basedOn w:val="Normal"/>
    <w:next w:val="Normal"/>
    <w:semiHidden/>
    <w:rsid w:val="00705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2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524F"/>
    <w:rPr>
      <w:rFonts w:ascii="Wingdings" w:hAnsi="Wingdings"/>
    </w:rPr>
  </w:style>
  <w:style w:type="paragraph" w:customStyle="1" w:styleId="TableHeading">
    <w:name w:val="Table Heading"/>
    <w:basedOn w:val="HeadingBase"/>
    <w:rsid w:val="00705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24F"/>
    <w:rPr>
      <w:color w:val="0033CC"/>
      <w:u w:val="none"/>
    </w:rPr>
  </w:style>
  <w:style w:type="paragraph" w:customStyle="1" w:styleId="BodyTextRight">
    <w:name w:val="Body Text Right"/>
    <w:basedOn w:val="BodyText"/>
    <w:rsid w:val="00705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2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24F"/>
    <w:rPr>
      <w:sz w:val="32"/>
    </w:rPr>
  </w:style>
  <w:style w:type="paragraph" w:customStyle="1" w:styleId="HeadingProcedure">
    <w:name w:val="Heading Procedure"/>
    <w:basedOn w:val="HeadingBase"/>
    <w:next w:val="Normal"/>
    <w:rsid w:val="00705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24F"/>
    <w:pPr>
      <w:spacing w:before="60" w:after="60"/>
    </w:pPr>
  </w:style>
  <w:style w:type="paragraph" w:styleId="ListContinue">
    <w:name w:val="List Continue"/>
    <w:basedOn w:val="List"/>
    <w:rsid w:val="0070524F"/>
    <w:pPr>
      <w:ind w:firstLine="0"/>
    </w:pPr>
  </w:style>
  <w:style w:type="paragraph" w:customStyle="1" w:styleId="ListNote">
    <w:name w:val="List Note"/>
    <w:basedOn w:val="List"/>
    <w:rsid w:val="00705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24F"/>
    <w:rPr>
      <w:rFonts w:ascii="Courier New" w:hAnsi="Courier New"/>
    </w:rPr>
  </w:style>
  <w:style w:type="paragraph" w:customStyle="1" w:styleId="NoteBullet">
    <w:name w:val="Note Bullet"/>
    <w:basedOn w:val="Note"/>
    <w:rsid w:val="00705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2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5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24F"/>
    <w:rPr>
      <w:b/>
      <w:smallCaps/>
    </w:rPr>
  </w:style>
  <w:style w:type="paragraph" w:customStyle="1" w:styleId="TableListNumber">
    <w:name w:val="Table List Number"/>
    <w:basedOn w:val="ListNumber"/>
    <w:rsid w:val="00705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24F"/>
    <w:pPr>
      <w:numPr>
        <w:numId w:val="10"/>
      </w:numPr>
    </w:pPr>
  </w:style>
  <w:style w:type="paragraph" w:customStyle="1" w:styleId="ListAlpha2">
    <w:name w:val="List Alpha 2"/>
    <w:basedOn w:val="List2"/>
    <w:rsid w:val="0070524F"/>
    <w:pPr>
      <w:numPr>
        <w:numId w:val="9"/>
      </w:numPr>
    </w:pPr>
  </w:style>
  <w:style w:type="paragraph" w:styleId="List2">
    <w:name w:val="List 2"/>
    <w:basedOn w:val="BodyText"/>
    <w:rsid w:val="00705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2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52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524F"/>
    <w:pPr>
      <w:numPr>
        <w:numId w:val="5"/>
      </w:numPr>
    </w:pPr>
  </w:style>
  <w:style w:type="paragraph" w:styleId="ListContinue2">
    <w:name w:val="List Continue 2"/>
    <w:basedOn w:val="List2"/>
    <w:rsid w:val="0070524F"/>
    <w:pPr>
      <w:ind w:firstLine="0"/>
    </w:pPr>
  </w:style>
  <w:style w:type="paragraph" w:styleId="ListContinue3">
    <w:name w:val="List Continue 3"/>
    <w:basedOn w:val="List3"/>
    <w:rsid w:val="0070524F"/>
    <w:pPr>
      <w:ind w:left="1021" w:firstLine="0"/>
    </w:pPr>
  </w:style>
  <w:style w:type="paragraph" w:styleId="ListContinue4">
    <w:name w:val="List Continue 4"/>
    <w:basedOn w:val="List4"/>
    <w:rsid w:val="0070524F"/>
    <w:pPr>
      <w:ind w:firstLine="0"/>
    </w:pPr>
  </w:style>
  <w:style w:type="paragraph" w:styleId="ListContinue5">
    <w:name w:val="List Continue 5"/>
    <w:basedOn w:val="List5"/>
    <w:rsid w:val="0070524F"/>
    <w:pPr>
      <w:ind w:firstLine="0"/>
    </w:pPr>
  </w:style>
  <w:style w:type="paragraph" w:styleId="ListNumber3">
    <w:name w:val="List Number 3"/>
    <w:basedOn w:val="List3"/>
    <w:rsid w:val="0070524F"/>
    <w:pPr>
      <w:numPr>
        <w:numId w:val="6"/>
      </w:numPr>
    </w:pPr>
  </w:style>
  <w:style w:type="paragraph" w:styleId="ListNumber4">
    <w:name w:val="List Number 4"/>
    <w:basedOn w:val="List4"/>
    <w:rsid w:val="0070524F"/>
    <w:pPr>
      <w:numPr>
        <w:numId w:val="7"/>
      </w:numPr>
    </w:pPr>
  </w:style>
  <w:style w:type="paragraph" w:styleId="ListNumber5">
    <w:name w:val="List Number 5"/>
    <w:basedOn w:val="List5"/>
    <w:rsid w:val="0070524F"/>
    <w:pPr>
      <w:numPr>
        <w:numId w:val="8"/>
      </w:numPr>
    </w:pPr>
  </w:style>
  <w:style w:type="paragraph" w:styleId="BlockText">
    <w:name w:val="Block Text"/>
    <w:basedOn w:val="Normal"/>
    <w:rsid w:val="00705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24F"/>
    <w:rPr>
      <w:sz w:val="16"/>
      <w:vertAlign w:val="superscript"/>
    </w:rPr>
  </w:style>
  <w:style w:type="character" w:customStyle="1" w:styleId="Symbols">
    <w:name w:val="Symbols"/>
    <w:basedOn w:val="DefaultParagraphFont"/>
    <w:rsid w:val="0070524F"/>
    <w:rPr>
      <w:rFonts w:ascii="Symbol" w:hAnsi="Symbol"/>
    </w:rPr>
  </w:style>
  <w:style w:type="character" w:customStyle="1" w:styleId="MenuOptions">
    <w:name w:val="Menu Options"/>
    <w:basedOn w:val="DefaultParagraphFont"/>
    <w:rsid w:val="00705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24F"/>
    <w:rPr>
      <w:b/>
    </w:rPr>
  </w:style>
  <w:style w:type="character" w:customStyle="1" w:styleId="Underlined">
    <w:name w:val="Underlined"/>
    <w:basedOn w:val="DefaultParagraphFont"/>
    <w:rsid w:val="0070524F"/>
    <w:rPr>
      <w:u w:val="single"/>
    </w:rPr>
  </w:style>
  <w:style w:type="paragraph" w:customStyle="1" w:styleId="TableBodyTextRight">
    <w:name w:val="Table Body Text Right"/>
    <w:basedOn w:val="TableBodyText"/>
    <w:rsid w:val="00705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24F"/>
    <w:rPr>
      <w:sz w:val="18"/>
    </w:rPr>
  </w:style>
  <w:style w:type="paragraph" w:customStyle="1" w:styleId="BodySmallRight">
    <w:name w:val="Body Small Right"/>
    <w:basedOn w:val="BodyTextRight"/>
    <w:rsid w:val="0070524F"/>
    <w:rPr>
      <w:sz w:val="18"/>
      <w:szCs w:val="18"/>
    </w:rPr>
  </w:style>
  <w:style w:type="paragraph" w:customStyle="1" w:styleId="MarginEdition">
    <w:name w:val="Margin Edition"/>
    <w:basedOn w:val="MarginNote"/>
    <w:rsid w:val="00705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24F"/>
    <w:rPr>
      <w:sz w:val="2"/>
      <w:szCs w:val="2"/>
    </w:rPr>
  </w:style>
  <w:style w:type="character" w:customStyle="1" w:styleId="Small">
    <w:name w:val="Small"/>
    <w:basedOn w:val="DefaultParagraphFont"/>
    <w:rsid w:val="0070524F"/>
    <w:rPr>
      <w:sz w:val="16"/>
    </w:rPr>
  </w:style>
  <w:style w:type="paragraph" w:customStyle="1" w:styleId="WideTable">
    <w:name w:val="Wide Table"/>
    <w:basedOn w:val="Normal"/>
    <w:rsid w:val="00705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24F"/>
  </w:style>
  <w:style w:type="paragraph" w:styleId="Quote">
    <w:name w:val="Quote"/>
    <w:basedOn w:val="Heading1"/>
    <w:link w:val="QuoteChar"/>
    <w:qFormat/>
    <w:rsid w:val="00705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24F"/>
    <w:pPr>
      <w:pageBreakBefore/>
    </w:pPr>
  </w:style>
  <w:style w:type="paragraph" w:customStyle="1" w:styleId="Border">
    <w:name w:val="Border"/>
    <w:basedOn w:val="Normal"/>
    <w:qFormat/>
    <w:rsid w:val="00705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24F"/>
    <w:rPr>
      <w:u w:val="single"/>
    </w:rPr>
  </w:style>
  <w:style w:type="character" w:customStyle="1" w:styleId="BoldandItalics">
    <w:name w:val="Bold and Italics"/>
    <w:qFormat/>
    <w:rsid w:val="0070524F"/>
    <w:rPr>
      <w:b/>
      <w:i/>
      <w:u w:val="none"/>
    </w:rPr>
  </w:style>
  <w:style w:type="paragraph" w:styleId="BalloonText">
    <w:name w:val="Balloon Text"/>
    <w:basedOn w:val="Normal"/>
    <w:link w:val="BalloonTextChar"/>
    <w:rsid w:val="00705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24F"/>
    <w:pPr>
      <w:spacing w:before="0" w:after="0"/>
    </w:pPr>
  </w:style>
  <w:style w:type="paragraph" w:customStyle="1" w:styleId="BodyTextBold">
    <w:name w:val="Body Text Bold"/>
    <w:basedOn w:val="BodyText"/>
    <w:qFormat/>
    <w:rsid w:val="0070524F"/>
    <w:rPr>
      <w:b/>
    </w:rPr>
  </w:style>
  <w:style w:type="character" w:styleId="Hyperlink">
    <w:name w:val="Hyperlink"/>
    <w:basedOn w:val="DefaultParagraphFont"/>
    <w:uiPriority w:val="99"/>
    <w:unhideWhenUsed/>
    <w:rsid w:val="00557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6000</Characters>
  <Application>Microsoft Office Word</Application>
  <DocSecurity>0</DocSecurity>
  <Lines>130</Lines>
  <Paragraphs>94</Paragraphs>
  <ScaleCrop>false</ScaleCrop>
  <Company>Author-it Software Corporation Ltd.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UEEEL0047 Identify, shut down and restart systems with alternate supplies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