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E12" w:rsidP="00043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UEEEL0038 Design switchboards rated for high fault levels (greater than 400 A)</w:t>
      </w:r>
      <w:r>
        <w:fldChar w:fldCharType="end"/>
      </w:r>
    </w:p>
    <w:p w:rsidR="00043E12" w:rsidP="00043E12">
      <w:pPr>
        <w:pStyle w:val="Version"/>
        <w:sectPr w:rsidSect="006D6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EB8" w:rsidP="006D6EB8">
      <w:pPr>
        <w:pStyle w:val="SuperHeading"/>
      </w:pPr>
      <w:r w:rsidRPr="006D6EB8">
        <w:t>Assessment Requirements for UEEEL0038 Design switchboards rated for high fault levels (greater than 400 A)</w:t>
      </w:r>
    </w:p>
    <w:p w:rsidR="00000000" w:rsidRPr="006D6EB8" w:rsidP="006D6EB8">
      <w:pPr>
        <w:pStyle w:val="Heading1"/>
      </w:pPr>
      <w:bookmarkStart w:id="1" w:name="O_1288997"/>
      <w:bookmarkEnd w:id="1"/>
      <w:r w:rsidRPr="006D6E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B8">
            <w:pPr>
              <w:pStyle w:val="BodyText"/>
              <w:rPr>
                <w:lang w:val="en-NZ"/>
              </w:rPr>
            </w:pPr>
            <w:r w:rsidRPr="006D6EB8">
              <w:t>Release 2. Minor Change. Typographic error in prerequisites corrected.</w:t>
            </w:r>
          </w:p>
        </w:tc>
      </w:tr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B8" w:rsidP="006D6EB8">
            <w:pPr>
              <w:pStyle w:val="BodyText"/>
            </w:pPr>
            <w:r w:rsidRPr="006D6EB8">
              <w:t>Release 1. This is the first release of this unit of competency in the UEE Electrotechnology Training Package.</w:t>
            </w:r>
          </w:p>
        </w:tc>
      </w:tr>
    </w:tbl>
    <w:p w:rsidR="00000000" w:rsidRPr="006D6EB8" w:rsidP="006D6EB8">
      <w:pPr>
        <w:pStyle w:val="NoPaddingFontSize1"/>
      </w:pPr>
    </w:p>
    <w:p w:rsidR="00000000" w:rsidRPr="006D6EB8" w:rsidP="006D6EB8">
      <w:pPr>
        <w:pStyle w:val="AllowPageBreak"/>
      </w:pPr>
    </w:p>
    <w:p w:rsidR="00000000" w:rsidRPr="006D6EB8" w:rsidP="006D6EB8">
      <w:pPr>
        <w:pStyle w:val="Heading1"/>
      </w:pPr>
      <w:bookmarkStart w:id="2" w:name="O_1288996"/>
      <w:bookmarkEnd w:id="2"/>
      <w:r w:rsidRPr="006D6E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B8">
            <w:pPr>
              <w:pStyle w:val="BodyText"/>
              <w:rPr>
                <w:lang w:val="en-NZ"/>
              </w:rPr>
            </w:pPr>
            <w:r w:rsidRPr="006D6EB8">
              <w:t>Evidence required to demonstrate competence in this unit must be relevant to and satisfy all of the req</w:t>
            </w:r>
            <w:r w:rsidRPr="006D6EB8">
              <w:t>uirements of the elements, performance criteria and range of conditions on at least one occasion and include:</w:t>
            </w:r>
          </w:p>
        </w:tc>
      </w:tr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B8" w:rsidP="006D6EB8">
            <w:pPr>
              <w:pStyle w:val="ListBullet"/>
            </w:pPr>
            <w:r w:rsidRPr="006D6EB8">
              <w:t>developing outlines of alternative designs</w:t>
            </w:r>
          </w:p>
          <w:p w:rsidR="00000000" w:rsidRPr="006D6EB8" w:rsidP="006D6EB8">
            <w:pPr>
              <w:pStyle w:val="ListBullet"/>
            </w:pPr>
            <w:r w:rsidRPr="006D6EB8">
              <w:t>developing the design within the safety and functional requirements and budget limitations</w:t>
            </w:r>
          </w:p>
          <w:p w:rsidR="00000000" w:rsidRPr="006D6EB8" w:rsidP="006D6EB8">
            <w:pPr>
              <w:pStyle w:val="ListBullet"/>
            </w:pPr>
            <w:r w:rsidRPr="006D6EB8">
              <w:t>documentin</w:t>
            </w:r>
            <w:r w:rsidRPr="006D6EB8">
              <w:t>g and presenting design effectively</w:t>
            </w:r>
          </w:p>
          <w:p w:rsidR="00000000" w:rsidRPr="006D6EB8" w:rsidP="006D6EB8">
            <w:pPr>
              <w:pStyle w:val="ListBullet"/>
            </w:pPr>
            <w:r w:rsidRPr="006D6EB8">
              <w:t>successfully negotiating design alteration requests</w:t>
            </w:r>
          </w:p>
          <w:p w:rsidR="00000000" w:rsidRPr="006D6EB8" w:rsidP="006D6EB8">
            <w:pPr>
              <w:pStyle w:val="ListBullet"/>
            </w:pPr>
            <w:r w:rsidRPr="006D6EB8">
              <w:t>obtaining approval for final design</w:t>
            </w:r>
          </w:p>
          <w:p w:rsidR="00000000" w:rsidRPr="006D6EB8" w:rsidP="006D6EB8">
            <w:pPr>
              <w:pStyle w:val="ListBullet"/>
            </w:pPr>
            <w:r w:rsidRPr="006D6EB8">
              <w:t>dealing with unplanned events</w:t>
            </w:r>
          </w:p>
          <w:p w:rsidR="00000000" w:rsidRPr="006D6EB8" w:rsidP="006D6EB8">
            <w:pPr>
              <w:pStyle w:val="ListBullet"/>
            </w:pPr>
            <w:r w:rsidRPr="006D6EB8">
              <w:t>applying performance standards, compliance methods and electrical equipment to switchboard design</w:t>
            </w:r>
          </w:p>
          <w:p w:rsidR="00000000" w:rsidRPr="006D6EB8" w:rsidP="006D6EB8">
            <w:pPr>
              <w:pStyle w:val="ListBullet"/>
            </w:pPr>
            <w:r w:rsidRPr="006D6EB8">
              <w:t>applying relevant work health and safety (WHS)/occupational health and safety (OHS) requirements, including using risk control measures</w:t>
            </w:r>
          </w:p>
          <w:p w:rsidR="00000000" w:rsidRPr="006D6EB8" w:rsidP="006D6EB8">
            <w:pPr>
              <w:pStyle w:val="ListBullet"/>
            </w:pPr>
            <w:r w:rsidRPr="006D6EB8">
              <w:t>consulting with relevant person/s in planning design work</w:t>
            </w:r>
          </w:p>
          <w:p w:rsidR="00000000" w:rsidRPr="006D6EB8" w:rsidP="006D6EB8">
            <w:pPr>
              <w:pStyle w:val="ListBullet"/>
            </w:pPr>
            <w:r w:rsidRPr="006D6EB8">
              <w:t>identifying scope of switchboard design brief</w:t>
            </w:r>
          </w:p>
          <w:p w:rsidR="00000000" w:rsidRPr="006D6EB8" w:rsidP="006D6EB8">
            <w:pPr>
              <w:pStyle w:val="ListBullet"/>
            </w:pPr>
            <w:r w:rsidRPr="006D6EB8">
              <w:t>monitoring quali</w:t>
            </w:r>
            <w:r w:rsidRPr="006D6EB8">
              <w:t>ty of work</w:t>
            </w:r>
          </w:p>
          <w:p w:rsidR="00000000" w:rsidRPr="006D6EB8" w:rsidP="006D6EB8">
            <w:pPr>
              <w:pStyle w:val="ListBullet"/>
            </w:pPr>
            <w:r w:rsidRPr="006D6EB8">
              <w:t>planning to meet scheduled timelines</w:t>
            </w:r>
          </w:p>
          <w:p w:rsidR="00000000" w:rsidRPr="006D6EB8" w:rsidP="006D6EB8">
            <w:pPr>
              <w:pStyle w:val="ListBullet"/>
            </w:pPr>
            <w:r w:rsidRPr="006D6EB8">
              <w:t>preparing to design switchboards.</w:t>
            </w:r>
          </w:p>
        </w:tc>
      </w:tr>
    </w:tbl>
    <w:p w:rsidR="00000000" w:rsidRPr="006D6EB8" w:rsidP="006D6EB8">
      <w:pPr>
        <w:pStyle w:val="NoPaddingFontSize1"/>
      </w:pPr>
    </w:p>
    <w:p w:rsidR="00000000" w:rsidRPr="006D6EB8" w:rsidP="006D6EB8">
      <w:pPr>
        <w:pStyle w:val="AllowPageBreak"/>
      </w:pPr>
    </w:p>
    <w:p w:rsidR="00000000" w:rsidRPr="006D6EB8" w:rsidP="006D6EB8">
      <w:pPr>
        <w:pStyle w:val="Heading1"/>
      </w:pPr>
      <w:bookmarkStart w:id="3" w:name="O_1288995"/>
      <w:bookmarkEnd w:id="3"/>
      <w:r w:rsidRPr="006D6E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EB8">
            <w:pPr>
              <w:pStyle w:val="BodyText"/>
              <w:rPr>
                <w:lang w:val="en-NZ"/>
              </w:rPr>
            </w:pPr>
            <w:r w:rsidRPr="006D6EB8">
              <w:t>Evidence required to demonstrate competence in this unit must be relevant to and satisfy all of the requirements of the elements, perf</w:t>
            </w:r>
            <w:r w:rsidRPr="006D6EB8">
              <w:t>ormance criteria and range of conditions and include knowledge of:</w:t>
            </w:r>
          </w:p>
        </w:tc>
      </w:tr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B8" w:rsidP="006D6EB8">
            <w:pPr>
              <w:pStyle w:val="ListBullet"/>
            </w:pPr>
            <w:r w:rsidRPr="006D6EB8">
              <w:t>switchboard design of low voltage (LV) switchboards rated for high fault currents, including:</w:t>
            </w:r>
          </w:p>
          <w:p w:rsidR="00000000" w:rsidRPr="006D6EB8" w:rsidP="006D6EB8">
            <w:pPr>
              <w:pStyle w:val="ListBullet2"/>
            </w:pPr>
            <w:r w:rsidRPr="006D6EB8">
              <w:t>trade calculations encompassing:</w:t>
            </w:r>
          </w:p>
          <w:p w:rsidR="00000000" w:rsidRPr="006D6EB8" w:rsidP="006D6EB8">
            <w:pPr>
              <w:pStyle w:val="ListBullet3"/>
            </w:pPr>
            <w:r w:rsidRPr="006D6EB8">
              <w:t>mathematical techniques</w:t>
            </w:r>
          </w:p>
          <w:p w:rsidR="00000000" w:rsidRPr="006D6EB8" w:rsidP="006D6EB8">
            <w:pPr>
              <w:pStyle w:val="ListBullet3"/>
            </w:pPr>
            <w:r w:rsidRPr="006D6EB8">
              <w:t>relevant calculations</w:t>
            </w:r>
          </w:p>
          <w:p w:rsidR="00000000" w:rsidRPr="006D6EB8" w:rsidP="006D6EB8">
            <w:pPr>
              <w:pStyle w:val="ListBullet3"/>
            </w:pPr>
            <w:r w:rsidRPr="006D6EB8">
              <w:t>linear measurement, areas, volumes and ratios</w:t>
            </w:r>
          </w:p>
          <w:p w:rsidR="00000000" w:rsidRPr="006D6EB8" w:rsidP="006D6EB8">
            <w:pPr>
              <w:pStyle w:val="ListBullet2"/>
            </w:pPr>
            <w:r w:rsidRPr="006D6EB8">
              <w:t>engineering mechanics encompassing:</w:t>
            </w:r>
          </w:p>
          <w:p w:rsidR="00000000" w:rsidRPr="006D6EB8" w:rsidP="006D6EB8">
            <w:pPr>
              <w:pStyle w:val="ListBullet3"/>
            </w:pPr>
            <w:r w:rsidRPr="006D6EB8">
              <w:t>base physical quantities</w:t>
            </w:r>
          </w:p>
          <w:p w:rsidR="00000000" w:rsidRPr="006D6EB8" w:rsidP="006D6EB8">
            <w:pPr>
              <w:pStyle w:val="ListBullet3"/>
            </w:pPr>
            <w:r w:rsidRPr="006D6EB8">
              <w:t>concepts, principles, International System of Units (SI) units, their applications in engineering calculations in relation to physical quantities a</w:t>
            </w:r>
            <w:r w:rsidRPr="006D6EB8">
              <w:t>nd associated formulae</w:t>
            </w:r>
          </w:p>
          <w:p w:rsidR="00000000" w:rsidRPr="006D6EB8" w:rsidP="006D6EB8">
            <w:pPr>
              <w:pStyle w:val="ListBullet3"/>
            </w:pPr>
            <w:r w:rsidRPr="006D6EB8">
              <w:t>mass, velocity, acceleration, force, weight, density and angles</w:t>
            </w:r>
          </w:p>
          <w:p w:rsidR="00000000" w:rsidRPr="006D6EB8" w:rsidP="006D6EB8">
            <w:pPr>
              <w:pStyle w:val="ListBullet3"/>
            </w:pPr>
            <w:r w:rsidRPr="006D6EB8">
              <w:t>energy/work/power</w:t>
            </w:r>
          </w:p>
          <w:p w:rsidR="00000000" w:rsidRPr="006D6EB8" w:rsidP="006D6EB8">
            <w:pPr>
              <w:pStyle w:val="ListBullet3"/>
            </w:pPr>
            <w:r w:rsidRPr="006D6EB8">
              <w:t>moments/torque</w:t>
            </w:r>
          </w:p>
          <w:p w:rsidR="00000000" w:rsidRPr="006D6EB8" w:rsidP="006D6EB8">
            <w:pPr>
              <w:pStyle w:val="ListBullet3"/>
            </w:pPr>
            <w:r w:rsidRPr="006D6EB8">
              <w:t>centre of gravity</w:t>
            </w:r>
          </w:p>
          <w:p w:rsidR="00000000" w:rsidRPr="006D6EB8" w:rsidP="006D6EB8">
            <w:pPr>
              <w:pStyle w:val="ListBullet3"/>
            </w:pPr>
            <w:r w:rsidRPr="006D6EB8">
              <w:t>mechanical advantage</w:t>
            </w:r>
          </w:p>
          <w:p w:rsidR="00000000" w:rsidRPr="006D6EB8" w:rsidP="006D6EB8">
            <w:pPr>
              <w:pStyle w:val="ListBullet3"/>
            </w:pPr>
            <w:r w:rsidRPr="006D6EB8">
              <w:t>levers</w:t>
            </w:r>
          </w:p>
          <w:p w:rsidR="00000000" w:rsidRPr="006D6EB8" w:rsidP="006D6EB8">
            <w:pPr>
              <w:pStyle w:val="ListBullet3"/>
            </w:pPr>
            <w:r w:rsidRPr="006D6EB8">
              <w:t>pulley blocks</w:t>
            </w:r>
          </w:p>
          <w:p w:rsidR="00000000" w:rsidRPr="006D6EB8" w:rsidP="006D6EB8">
            <w:pPr>
              <w:pStyle w:val="ListBullet3"/>
            </w:pPr>
            <w:r w:rsidRPr="006D6EB8">
              <w:t>efficiency</w:t>
            </w:r>
          </w:p>
          <w:p w:rsidR="00000000" w:rsidRPr="006D6EB8" w:rsidP="006D6EB8">
            <w:pPr>
              <w:pStyle w:val="ListBullet3"/>
            </w:pPr>
            <w:r w:rsidRPr="006D6EB8">
              <w:t>friction</w:t>
            </w:r>
          </w:p>
          <w:p w:rsidR="00000000" w:rsidRPr="006D6EB8" w:rsidP="006D6EB8">
            <w:pPr>
              <w:pStyle w:val="ListBullet3"/>
            </w:pPr>
            <w:r w:rsidRPr="006D6EB8">
              <w:t>vectors</w:t>
            </w:r>
          </w:p>
          <w:p w:rsidR="00000000" w:rsidRPr="006D6EB8" w:rsidP="006D6EB8">
            <w:pPr>
              <w:pStyle w:val="ListBullet3"/>
            </w:pPr>
            <w:r w:rsidRPr="006D6EB8">
              <w:t>resolution of forces</w:t>
            </w:r>
          </w:p>
          <w:p w:rsidR="00000000" w:rsidRPr="006D6EB8" w:rsidP="006D6EB8">
            <w:pPr>
              <w:pStyle w:val="ListBullet3"/>
            </w:pPr>
            <w:r w:rsidRPr="006D6EB8">
              <w:t>forces in strung conductors</w:t>
            </w:r>
          </w:p>
          <w:p w:rsidR="00000000" w:rsidRPr="006D6EB8" w:rsidP="006D6EB8">
            <w:pPr>
              <w:pStyle w:val="ListBullet3"/>
            </w:pPr>
            <w:r w:rsidRPr="006D6EB8">
              <w:t>forces on poles and towers</w:t>
            </w:r>
          </w:p>
          <w:p w:rsidR="00000000" w:rsidRPr="006D6EB8" w:rsidP="006D6EB8">
            <w:pPr>
              <w:pStyle w:val="ListBullet3"/>
            </w:pPr>
            <w:r w:rsidRPr="006D6EB8">
              <w:t>determination of sag</w:t>
            </w:r>
          </w:p>
          <w:p w:rsidR="00000000" w:rsidRPr="006D6EB8" w:rsidP="006D6EB8">
            <w:pPr>
              <w:pStyle w:val="ListBullet3"/>
            </w:pPr>
            <w:r w:rsidRPr="006D6EB8">
              <w:t>pressure/stress</w:t>
            </w:r>
          </w:p>
          <w:p w:rsidR="00000000" w:rsidRPr="006D6EB8" w:rsidP="006D6EB8">
            <w:pPr>
              <w:pStyle w:val="ListBullet3"/>
            </w:pPr>
            <w:r w:rsidRPr="006D6EB8">
              <w:t>elementary fluid mechanics</w:t>
            </w:r>
          </w:p>
          <w:p w:rsidR="00000000" w:rsidRPr="006D6EB8" w:rsidP="006D6EB8">
            <w:pPr>
              <w:pStyle w:val="ListBullet2"/>
            </w:pPr>
            <w:r w:rsidRPr="006D6EB8">
              <w:t>engineering materials encompassing:</w:t>
            </w:r>
          </w:p>
          <w:p w:rsidR="00000000" w:rsidRPr="006D6EB8" w:rsidP="006D6EB8">
            <w:pPr>
              <w:pStyle w:val="ListBullet3"/>
            </w:pPr>
            <w:r w:rsidRPr="006D6EB8">
              <w:t>classification</w:t>
            </w:r>
          </w:p>
          <w:p w:rsidR="00000000" w:rsidRPr="006D6EB8" w:rsidP="006D6EB8">
            <w:pPr>
              <w:pStyle w:val="ListBullet3"/>
            </w:pPr>
            <w:r w:rsidRPr="006D6EB8">
              <w:t>ferrous and non-ferrous metals</w:t>
            </w:r>
          </w:p>
          <w:p w:rsidR="00000000" w:rsidRPr="006D6EB8" w:rsidP="006D6EB8">
            <w:pPr>
              <w:pStyle w:val="ListBullet3"/>
            </w:pPr>
            <w:r w:rsidRPr="006D6EB8">
              <w:t>steels and alloys</w:t>
            </w:r>
          </w:p>
          <w:p w:rsidR="00000000" w:rsidRPr="006D6EB8" w:rsidP="006D6EB8">
            <w:pPr>
              <w:pStyle w:val="ListBullet3"/>
            </w:pPr>
            <w:r w:rsidRPr="006D6EB8">
              <w:t>properties</w:t>
            </w:r>
          </w:p>
          <w:p w:rsidR="00000000" w:rsidRPr="006D6EB8" w:rsidP="006D6EB8">
            <w:pPr>
              <w:pStyle w:val="ListBullet3"/>
            </w:pPr>
            <w:r w:rsidRPr="006D6EB8">
              <w:t>tensile strength</w:t>
            </w:r>
          </w:p>
          <w:p w:rsidR="00000000" w:rsidRPr="006D6EB8" w:rsidP="006D6EB8">
            <w:pPr>
              <w:pStyle w:val="ListBullet3"/>
            </w:pPr>
            <w:r w:rsidRPr="006D6EB8">
              <w:t>temperature and expansion in metals</w:t>
            </w:r>
          </w:p>
          <w:p w:rsidR="00000000" w:rsidRPr="006D6EB8" w:rsidP="006D6EB8">
            <w:pPr>
              <w:pStyle w:val="ListBullet3"/>
            </w:pPr>
            <w:r w:rsidRPr="006D6EB8">
              <w:t>stress and strain</w:t>
            </w:r>
          </w:p>
          <w:p w:rsidR="00000000" w:rsidRPr="006D6EB8" w:rsidP="006D6EB8">
            <w:pPr>
              <w:pStyle w:val="ListBullet3"/>
            </w:pPr>
            <w:r w:rsidRPr="006D6EB8">
              <w:t>ductility</w:t>
            </w:r>
          </w:p>
          <w:p w:rsidR="00000000" w:rsidRPr="006D6EB8" w:rsidP="006D6EB8">
            <w:pPr>
              <w:pStyle w:val="ListBullet3"/>
            </w:pPr>
            <w:r w:rsidRPr="006D6EB8">
              <w:t>applications</w:t>
            </w:r>
          </w:p>
          <w:p w:rsidR="00000000" w:rsidRPr="006D6EB8" w:rsidP="006D6EB8">
            <w:pPr>
              <w:pStyle w:val="ListBullet3"/>
            </w:pPr>
            <w:r w:rsidRPr="006D6EB8">
              <w:t>corrosion</w:t>
            </w:r>
          </w:p>
          <w:p w:rsidR="00000000" w:rsidRPr="006D6EB8" w:rsidP="006D6EB8">
            <w:pPr>
              <w:pStyle w:val="ListBullet3"/>
            </w:pPr>
            <w:r w:rsidRPr="006D6EB8">
              <w:t>galvanic corrosion</w:t>
            </w:r>
          </w:p>
          <w:p w:rsidR="00000000" w:rsidRPr="006D6EB8" w:rsidP="006D6EB8">
            <w:pPr>
              <w:pStyle w:val="ListBullet3"/>
            </w:pPr>
            <w:r w:rsidRPr="006D6EB8">
              <w:t>hardwoods and soft woods</w:t>
            </w:r>
          </w:p>
          <w:p w:rsidR="00000000" w:rsidRPr="006D6EB8" w:rsidP="006D6EB8">
            <w:pPr>
              <w:pStyle w:val="ListBullet2"/>
            </w:pPr>
            <w:r w:rsidRPr="006D6EB8">
              <w:t>fault current calculations encompassing:</w:t>
            </w:r>
          </w:p>
          <w:p w:rsidR="00000000" w:rsidRPr="006D6EB8" w:rsidP="006D6EB8">
            <w:pPr>
              <w:pStyle w:val="ListBullet3"/>
            </w:pPr>
            <w:r w:rsidRPr="006D6EB8">
              <w:t>calculation of fault currents</w:t>
            </w:r>
          </w:p>
          <w:p w:rsidR="00000000" w:rsidRPr="006D6EB8" w:rsidP="006D6EB8">
            <w:pPr>
              <w:pStyle w:val="ListBullet3"/>
            </w:pPr>
            <w:r w:rsidRPr="006D6EB8">
              <w:t xml:space="preserve">calculation/determination of positive, negative and </w:t>
            </w:r>
            <w:r w:rsidRPr="006D6EB8">
              <w:t>zero sequence impedances</w:t>
            </w:r>
          </w:p>
          <w:p w:rsidR="00000000" w:rsidRPr="006D6EB8" w:rsidP="006D6EB8">
            <w:pPr>
              <w:pStyle w:val="ListBullet3"/>
            </w:pPr>
            <w:r w:rsidRPr="006D6EB8">
              <w:t>determination of fault current breaking and let-through energy capacities of protection devices</w:t>
            </w:r>
          </w:p>
          <w:p w:rsidR="00000000" w:rsidRPr="006D6EB8" w:rsidP="006D6EB8">
            <w:pPr>
              <w:pStyle w:val="ListBullet3"/>
            </w:pPr>
            <w:r w:rsidRPr="006D6EB8">
              <w:t>the influence of fault/arc impedances</w:t>
            </w:r>
          </w:p>
          <w:p w:rsidR="00000000" w:rsidRPr="006D6EB8" w:rsidP="006D6EB8">
            <w:pPr>
              <w:pStyle w:val="ListBullet3"/>
            </w:pPr>
            <w:r w:rsidRPr="006D6EB8">
              <w:t>impedances operative for phase-to-phase and phase-to-earth faults</w:t>
            </w:r>
          </w:p>
          <w:p w:rsidR="00000000" w:rsidRPr="006D6EB8" w:rsidP="006D6EB8">
            <w:pPr>
              <w:pStyle w:val="ListBullet3"/>
            </w:pPr>
            <w:r w:rsidRPr="006D6EB8">
              <w:t>calculation of fault currents for phase-to-phase and phase-to-earth faults</w:t>
            </w:r>
          </w:p>
          <w:p w:rsidR="00000000" w:rsidRPr="006D6EB8" w:rsidP="006D6EB8">
            <w:pPr>
              <w:pStyle w:val="ListBullet3"/>
            </w:pPr>
            <w:r w:rsidRPr="006D6EB8">
              <w:t>approximation calculations by selecting the components with the major impedance</w:t>
            </w:r>
          </w:p>
          <w:p w:rsidR="00000000" w:rsidRPr="006D6EB8" w:rsidP="006D6EB8">
            <w:pPr>
              <w:pStyle w:val="ListBullet"/>
            </w:pPr>
            <w:r w:rsidRPr="006D6EB8">
              <w:t>problem-solving techniques</w:t>
            </w:r>
          </w:p>
          <w:p w:rsidR="00000000" w:rsidRPr="006D6EB8" w:rsidP="006D6EB8">
            <w:pPr>
              <w:pStyle w:val="ListBullet"/>
            </w:pPr>
            <w:r w:rsidRPr="006D6EB8">
              <w:t>relevant manufacturer specifications and operating instructions</w:t>
            </w:r>
          </w:p>
          <w:p w:rsidR="00000000" w:rsidRPr="006D6EB8" w:rsidP="006D6EB8">
            <w:pPr>
              <w:pStyle w:val="ListBullet"/>
            </w:pPr>
            <w:r w:rsidRPr="006D6EB8">
              <w:t xml:space="preserve">relevant </w:t>
            </w:r>
            <w:r w:rsidRPr="006D6EB8">
              <w:t>job safety assessments or risk mitigation processes</w:t>
            </w:r>
          </w:p>
          <w:p w:rsidR="00000000" w:rsidRPr="006D6EB8" w:rsidP="006D6EB8">
            <w:pPr>
              <w:pStyle w:val="ListBullet"/>
            </w:pPr>
            <w:r w:rsidRPr="006D6EB8">
              <w:t>relevant WHS/OHS legislated requirements</w:t>
            </w:r>
          </w:p>
          <w:p w:rsidR="00000000" w:rsidRPr="006D6EB8" w:rsidP="006D6EB8">
            <w:pPr>
              <w:pStyle w:val="ListBullet"/>
            </w:pPr>
            <w:r w:rsidRPr="006D6EB8">
              <w:t>relevant workplace documentation</w:t>
            </w:r>
          </w:p>
          <w:p w:rsidR="00000000" w:rsidRPr="006D6EB8" w:rsidP="006D6EB8">
            <w:pPr>
              <w:pStyle w:val="ListBullet"/>
            </w:pPr>
            <w:r w:rsidRPr="006D6EB8">
              <w:t>relevant workplace quality, instructions, policies and procedures.</w:t>
            </w:r>
          </w:p>
        </w:tc>
      </w:tr>
    </w:tbl>
    <w:p w:rsidR="00000000" w:rsidRPr="006D6EB8" w:rsidP="006D6EB8">
      <w:pPr>
        <w:pStyle w:val="NoPaddingFontSize1"/>
      </w:pPr>
    </w:p>
    <w:p w:rsidR="00000000" w:rsidRPr="006D6EB8" w:rsidP="006D6EB8">
      <w:pPr>
        <w:pStyle w:val="AllowPageBreak"/>
      </w:pPr>
    </w:p>
    <w:p w:rsidR="00000000" w:rsidRPr="006D6EB8" w:rsidP="006D6EB8">
      <w:pPr>
        <w:pStyle w:val="Heading1"/>
      </w:pPr>
      <w:bookmarkStart w:id="4" w:name="O_1288994"/>
      <w:bookmarkEnd w:id="4"/>
      <w:r w:rsidRPr="006D6E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6E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EB8" w:rsidP="006D6EB8">
            <w:pPr>
              <w:pStyle w:val="BodyText"/>
            </w:pPr>
            <w:r w:rsidRPr="006D6EB8">
              <w:t>Assessors must hold credentials specified within the Standards for Registered Training Organisations current at the time of assessment.</w:t>
            </w:r>
          </w:p>
          <w:p w:rsidR="00000000" w:rsidRPr="006D6EB8" w:rsidP="006D6EB8">
            <w:pPr>
              <w:pStyle w:val="BodyText"/>
            </w:pPr>
            <w:r w:rsidRPr="006D6EB8">
              <w:t>Assessment must satisfy the Principles of Assessment and Rules of Evidence and all regulatory requirements included with</w:t>
            </w:r>
            <w:r w:rsidRPr="006D6EB8">
              <w:t>in the Standards for Registered Training Organisations current at the time of assessment.</w:t>
            </w:r>
          </w:p>
          <w:p w:rsidR="00000000" w:rsidRPr="006D6EB8" w:rsidP="006D6EB8">
            <w:pPr>
              <w:pStyle w:val="BodyText"/>
            </w:pPr>
            <w:r w:rsidRPr="006D6EB8">
              <w:t>Assessment must occur in suitable workplace operational situations where it is appropriate to do so; where this is not appropriate, assessment must occur in simulated</w:t>
            </w:r>
            <w:r w:rsidRPr="006D6EB8">
              <w:t xml:space="preserve"> suitable workplace operational situations that replicate workplace conditions.</w:t>
            </w:r>
          </w:p>
          <w:p w:rsidR="00000000" w:rsidRPr="006D6EB8" w:rsidP="006D6EB8">
            <w:pPr>
              <w:pStyle w:val="BodyText"/>
            </w:pPr>
            <w:r w:rsidRPr="006D6E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D6EB8" w:rsidP="006D6EB8">
            <w:pPr>
              <w:pStyle w:val="BodyText"/>
            </w:pPr>
            <w:r w:rsidRPr="006D6EB8">
              <w:t>Resource</w:t>
            </w:r>
            <w:r w:rsidRPr="006D6EB8">
              <w:t>s for assessment must include access to:</w:t>
            </w:r>
          </w:p>
          <w:p w:rsidR="00000000" w:rsidRPr="006D6EB8" w:rsidP="006D6EB8">
            <w:pPr>
              <w:pStyle w:val="ListBullet"/>
            </w:pPr>
            <w:r w:rsidRPr="006D6EB8">
              <w:t>a range of relevant exercises, case studies and/or simulations</w:t>
            </w:r>
          </w:p>
          <w:p w:rsidR="00000000" w:rsidRPr="006D6EB8" w:rsidP="006D6EB8">
            <w:pPr>
              <w:pStyle w:val="ListBullet"/>
            </w:pPr>
            <w:r w:rsidRPr="006D6EB8">
              <w:t>relevant and appropriate materials, tools, facilities and equipment currently used in industry</w:t>
            </w:r>
          </w:p>
          <w:p w:rsidR="00000000" w:rsidRPr="006D6EB8" w:rsidP="006D6EB8">
            <w:pPr>
              <w:pStyle w:val="ListBullet"/>
            </w:pPr>
            <w:r w:rsidRPr="006D6EB8">
              <w:t>resources that reflect current industry practices in rel</w:t>
            </w:r>
            <w:r w:rsidRPr="006D6EB8">
              <w:t>ation to designing switchboards rated for high fault levels</w:t>
            </w:r>
          </w:p>
          <w:p w:rsidR="00000000" w:rsidRPr="006D6EB8" w:rsidP="006D6EB8">
            <w:pPr>
              <w:pStyle w:val="ListBullet"/>
            </w:pPr>
            <w:r w:rsidRPr="006D6EB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D6EB8" w:rsidP="006D6EB8">
      <w:pPr>
        <w:pStyle w:val="NoPaddingFontSize1"/>
      </w:pPr>
    </w:p>
    <w:p w:rsidR="00000000" w:rsidRPr="006D6EB8" w:rsidP="006D6EB8">
      <w:pPr>
        <w:pStyle w:val="AllowPageBreak"/>
      </w:pPr>
    </w:p>
    <w:p w:rsidR="00000000" w:rsidRPr="006D6EB8" w:rsidP="006D6EB8">
      <w:pPr>
        <w:pStyle w:val="Heading1"/>
      </w:pPr>
      <w:bookmarkStart w:id="5" w:name="O_1289009"/>
      <w:bookmarkEnd w:id="5"/>
      <w:r w:rsidRPr="006D6EB8">
        <w:t>Links</w:t>
      </w:r>
    </w:p>
    <w:p w:rsidR="00000000" w:rsidRPr="006D6EB8" w:rsidP="00043E12">
      <w:pPr>
        <w:pStyle w:val="BodyText"/>
      </w:pPr>
      <w:r w:rsidRPr="006D6EB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803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D6EB8" w:rsidP="006D6EB8"/>
    <w:sectPr w:rsidSect="006D6E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B8" w:rsidRPr="00043E12" w:rsidP="00043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12" w:rsidP="006D6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E12" w:rsidP="006D6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3E12" w:rsidP="006D6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EB8" w:rsidRPr="00043E12" w:rsidP="00043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12" w:rsidRPr="002D2AF8" w:rsidP="006D6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UEEEL0038 Design switchboards rated for high fault levels (greater than 400 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043E12" w:rsidP="006D6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CD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81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604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EB8"/>
  </w:style>
  <w:style w:type="character" w:customStyle="1" w:styleId="Heading1Char">
    <w:name w:val="Heading 1 Char"/>
    <w:basedOn w:val="DefaultParagraphFont"/>
    <w:link w:val="Heading1"/>
    <w:rsid w:val="006D6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E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6E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6EB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6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EB8"/>
    <w:rPr>
      <w:b/>
      <w:spacing w:val="0"/>
    </w:rPr>
  </w:style>
  <w:style w:type="paragraph" w:customStyle="1" w:styleId="SuperTitle">
    <w:name w:val="SuperTitle"/>
    <w:basedOn w:val="Title"/>
    <w:rsid w:val="006D6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E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EB8"/>
    <w:rPr>
      <w:i/>
    </w:rPr>
  </w:style>
  <w:style w:type="paragraph" w:styleId="Caption">
    <w:name w:val="caption"/>
    <w:basedOn w:val="BodyText"/>
    <w:next w:val="Normal"/>
    <w:qFormat/>
    <w:rsid w:val="006D6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EB8"/>
  </w:style>
  <w:style w:type="paragraph" w:styleId="TableofFigures">
    <w:name w:val="table of figures"/>
    <w:basedOn w:val="Normal"/>
    <w:next w:val="Normal"/>
    <w:semiHidden/>
    <w:rsid w:val="006D6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E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6EB8"/>
    <w:rPr>
      <w:rFonts w:ascii="Wingdings" w:hAnsi="Wingdings"/>
    </w:rPr>
  </w:style>
  <w:style w:type="paragraph" w:customStyle="1" w:styleId="TableHeading">
    <w:name w:val="Table Heading"/>
    <w:basedOn w:val="HeadingBase"/>
    <w:rsid w:val="006D6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EB8"/>
    <w:rPr>
      <w:color w:val="0033CC"/>
      <w:u w:val="none"/>
    </w:rPr>
  </w:style>
  <w:style w:type="paragraph" w:customStyle="1" w:styleId="BodyTextRight">
    <w:name w:val="Body Text Right"/>
    <w:basedOn w:val="BodyText"/>
    <w:rsid w:val="006D6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E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EB8"/>
    <w:rPr>
      <w:sz w:val="32"/>
    </w:rPr>
  </w:style>
  <w:style w:type="paragraph" w:customStyle="1" w:styleId="HeadingProcedure">
    <w:name w:val="Heading Procedure"/>
    <w:basedOn w:val="HeadingBase"/>
    <w:next w:val="Normal"/>
    <w:rsid w:val="006D6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EB8"/>
    <w:pPr>
      <w:spacing w:before="60" w:after="60"/>
    </w:pPr>
  </w:style>
  <w:style w:type="paragraph" w:styleId="ListContinue">
    <w:name w:val="List Continue"/>
    <w:basedOn w:val="List"/>
    <w:rsid w:val="006D6EB8"/>
    <w:pPr>
      <w:ind w:firstLine="0"/>
    </w:pPr>
  </w:style>
  <w:style w:type="paragraph" w:customStyle="1" w:styleId="ListNote">
    <w:name w:val="List Note"/>
    <w:basedOn w:val="List"/>
    <w:rsid w:val="006D6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EB8"/>
    <w:rPr>
      <w:rFonts w:ascii="Courier New" w:hAnsi="Courier New"/>
    </w:rPr>
  </w:style>
  <w:style w:type="paragraph" w:customStyle="1" w:styleId="NoteBullet">
    <w:name w:val="Note Bullet"/>
    <w:basedOn w:val="Note"/>
    <w:rsid w:val="006D6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E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6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EB8"/>
    <w:rPr>
      <w:b/>
      <w:smallCaps/>
    </w:rPr>
  </w:style>
  <w:style w:type="paragraph" w:customStyle="1" w:styleId="TableListNumber">
    <w:name w:val="Table List Number"/>
    <w:basedOn w:val="ListNumber"/>
    <w:rsid w:val="006D6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EB8"/>
    <w:pPr>
      <w:numPr>
        <w:numId w:val="10"/>
      </w:numPr>
    </w:pPr>
  </w:style>
  <w:style w:type="paragraph" w:customStyle="1" w:styleId="ListAlpha2">
    <w:name w:val="List Alpha 2"/>
    <w:basedOn w:val="List2"/>
    <w:rsid w:val="006D6EB8"/>
    <w:pPr>
      <w:numPr>
        <w:numId w:val="9"/>
      </w:numPr>
    </w:pPr>
  </w:style>
  <w:style w:type="paragraph" w:styleId="List2">
    <w:name w:val="List 2"/>
    <w:basedOn w:val="BodyText"/>
    <w:rsid w:val="006D6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E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6E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6EB8"/>
    <w:pPr>
      <w:numPr>
        <w:numId w:val="5"/>
      </w:numPr>
    </w:pPr>
  </w:style>
  <w:style w:type="paragraph" w:styleId="ListContinue2">
    <w:name w:val="List Continue 2"/>
    <w:basedOn w:val="List2"/>
    <w:rsid w:val="006D6EB8"/>
    <w:pPr>
      <w:ind w:firstLine="0"/>
    </w:pPr>
  </w:style>
  <w:style w:type="paragraph" w:styleId="ListContinue3">
    <w:name w:val="List Continue 3"/>
    <w:basedOn w:val="List3"/>
    <w:rsid w:val="006D6EB8"/>
    <w:pPr>
      <w:ind w:left="1021" w:firstLine="0"/>
    </w:pPr>
  </w:style>
  <w:style w:type="paragraph" w:styleId="ListContinue4">
    <w:name w:val="List Continue 4"/>
    <w:basedOn w:val="List4"/>
    <w:rsid w:val="006D6EB8"/>
    <w:pPr>
      <w:ind w:firstLine="0"/>
    </w:pPr>
  </w:style>
  <w:style w:type="paragraph" w:styleId="ListContinue5">
    <w:name w:val="List Continue 5"/>
    <w:basedOn w:val="List5"/>
    <w:rsid w:val="006D6EB8"/>
    <w:pPr>
      <w:ind w:firstLine="0"/>
    </w:pPr>
  </w:style>
  <w:style w:type="paragraph" w:styleId="ListNumber3">
    <w:name w:val="List Number 3"/>
    <w:basedOn w:val="List3"/>
    <w:rsid w:val="006D6EB8"/>
    <w:pPr>
      <w:numPr>
        <w:numId w:val="6"/>
      </w:numPr>
    </w:pPr>
  </w:style>
  <w:style w:type="paragraph" w:styleId="ListNumber4">
    <w:name w:val="List Number 4"/>
    <w:basedOn w:val="List4"/>
    <w:rsid w:val="006D6EB8"/>
    <w:pPr>
      <w:numPr>
        <w:numId w:val="7"/>
      </w:numPr>
    </w:pPr>
  </w:style>
  <w:style w:type="paragraph" w:styleId="ListNumber5">
    <w:name w:val="List Number 5"/>
    <w:basedOn w:val="List5"/>
    <w:rsid w:val="006D6EB8"/>
    <w:pPr>
      <w:numPr>
        <w:numId w:val="8"/>
      </w:numPr>
    </w:pPr>
  </w:style>
  <w:style w:type="paragraph" w:styleId="BlockText">
    <w:name w:val="Block Text"/>
    <w:basedOn w:val="Normal"/>
    <w:rsid w:val="006D6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EB8"/>
    <w:rPr>
      <w:sz w:val="16"/>
      <w:vertAlign w:val="superscript"/>
    </w:rPr>
  </w:style>
  <w:style w:type="character" w:customStyle="1" w:styleId="Symbols">
    <w:name w:val="Symbols"/>
    <w:basedOn w:val="DefaultParagraphFont"/>
    <w:rsid w:val="006D6EB8"/>
    <w:rPr>
      <w:rFonts w:ascii="Symbol" w:hAnsi="Symbol"/>
    </w:rPr>
  </w:style>
  <w:style w:type="character" w:customStyle="1" w:styleId="MenuOptions">
    <w:name w:val="Menu Options"/>
    <w:basedOn w:val="DefaultParagraphFont"/>
    <w:rsid w:val="006D6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EB8"/>
    <w:rPr>
      <w:b/>
    </w:rPr>
  </w:style>
  <w:style w:type="character" w:customStyle="1" w:styleId="Underlined">
    <w:name w:val="Underlined"/>
    <w:basedOn w:val="DefaultParagraphFont"/>
    <w:rsid w:val="006D6EB8"/>
    <w:rPr>
      <w:u w:val="single"/>
    </w:rPr>
  </w:style>
  <w:style w:type="paragraph" w:customStyle="1" w:styleId="TableBodyTextRight">
    <w:name w:val="Table Body Text Right"/>
    <w:basedOn w:val="TableBodyText"/>
    <w:rsid w:val="006D6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EB8"/>
    <w:rPr>
      <w:sz w:val="18"/>
    </w:rPr>
  </w:style>
  <w:style w:type="paragraph" w:customStyle="1" w:styleId="BodySmallRight">
    <w:name w:val="Body Small Right"/>
    <w:basedOn w:val="BodyTextRight"/>
    <w:rsid w:val="006D6EB8"/>
    <w:rPr>
      <w:sz w:val="18"/>
      <w:szCs w:val="18"/>
    </w:rPr>
  </w:style>
  <w:style w:type="paragraph" w:customStyle="1" w:styleId="MarginEdition">
    <w:name w:val="Margin Edition"/>
    <w:basedOn w:val="MarginNote"/>
    <w:rsid w:val="006D6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EB8"/>
    <w:rPr>
      <w:sz w:val="2"/>
      <w:szCs w:val="2"/>
    </w:rPr>
  </w:style>
  <w:style w:type="character" w:customStyle="1" w:styleId="Small">
    <w:name w:val="Small"/>
    <w:basedOn w:val="DefaultParagraphFont"/>
    <w:rsid w:val="006D6EB8"/>
    <w:rPr>
      <w:sz w:val="16"/>
    </w:rPr>
  </w:style>
  <w:style w:type="paragraph" w:customStyle="1" w:styleId="WideTable">
    <w:name w:val="Wide Table"/>
    <w:basedOn w:val="Normal"/>
    <w:rsid w:val="006D6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EB8"/>
  </w:style>
  <w:style w:type="paragraph" w:styleId="Quote">
    <w:name w:val="Quote"/>
    <w:basedOn w:val="Heading1"/>
    <w:link w:val="QuoteChar"/>
    <w:qFormat/>
    <w:rsid w:val="006D6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EB8"/>
    <w:pPr>
      <w:pageBreakBefore/>
    </w:pPr>
  </w:style>
  <w:style w:type="paragraph" w:customStyle="1" w:styleId="Border">
    <w:name w:val="Border"/>
    <w:basedOn w:val="Normal"/>
    <w:qFormat/>
    <w:rsid w:val="006D6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EB8"/>
    <w:rPr>
      <w:u w:val="single"/>
    </w:rPr>
  </w:style>
  <w:style w:type="character" w:customStyle="1" w:styleId="BoldandItalics">
    <w:name w:val="Bold and Italics"/>
    <w:qFormat/>
    <w:rsid w:val="006D6EB8"/>
    <w:rPr>
      <w:b/>
      <w:i/>
      <w:u w:val="none"/>
    </w:rPr>
  </w:style>
  <w:style w:type="paragraph" w:styleId="BalloonText">
    <w:name w:val="Balloon Text"/>
    <w:basedOn w:val="Normal"/>
    <w:link w:val="BalloonTextChar"/>
    <w:rsid w:val="006D6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EB8"/>
    <w:pPr>
      <w:spacing w:before="0" w:after="0"/>
    </w:pPr>
  </w:style>
  <w:style w:type="paragraph" w:customStyle="1" w:styleId="BodyTextBold">
    <w:name w:val="Body Text Bold"/>
    <w:basedOn w:val="BodyText"/>
    <w:qFormat/>
    <w:rsid w:val="006D6EB8"/>
    <w:rPr>
      <w:b/>
    </w:rPr>
  </w:style>
  <w:style w:type="character" w:styleId="Hyperlink">
    <w:name w:val="Hyperlink"/>
    <w:basedOn w:val="DefaultParagraphFont"/>
    <w:uiPriority w:val="99"/>
    <w:unhideWhenUsed/>
    <w:rsid w:val="00043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4403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UEEEL0038 Design switchboards rated for high fault levels (greater than 400 A)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