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748" w:rsidP="006007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UEEEL0035 Design effective and efficient lighting for public, open and sports areas</w:t>
      </w:r>
      <w:r>
        <w:fldChar w:fldCharType="end"/>
      </w:r>
    </w:p>
    <w:p w:rsidR="00600748" w:rsidP="00600748">
      <w:pPr>
        <w:pStyle w:val="Version"/>
        <w:sectPr w:rsidSect="000F76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6AA" w:rsidP="000F76AA">
      <w:pPr>
        <w:pStyle w:val="SuperHeading"/>
      </w:pPr>
      <w:r w:rsidRPr="000F76AA">
        <w:t>Assessment Requirements for UEEEL0035 Design effective and efficient lighting for public, open and sports areas</w:t>
      </w:r>
    </w:p>
    <w:p w:rsidR="00000000" w:rsidRPr="000F76AA" w:rsidP="000F76AA">
      <w:pPr>
        <w:pStyle w:val="Heading1"/>
      </w:pPr>
      <w:bookmarkStart w:id="1" w:name="O_1103849"/>
      <w:bookmarkEnd w:id="1"/>
      <w:r w:rsidRPr="000F76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6AA" w:rsidP="000F76AA">
            <w:pPr>
              <w:pStyle w:val="BodyText"/>
            </w:pPr>
            <w:r w:rsidRPr="000F76AA">
              <w:t>Release 1. This is the first release of this unit of competency in the UEE Electrotechnology Training Package.</w:t>
            </w:r>
          </w:p>
        </w:tc>
      </w:tr>
    </w:tbl>
    <w:p w:rsidR="00000000" w:rsidRPr="000F76AA" w:rsidP="000F76AA">
      <w:pPr>
        <w:pStyle w:val="NoPaddingFontSize1"/>
      </w:pPr>
    </w:p>
    <w:p w:rsidR="00000000" w:rsidRPr="000F76AA" w:rsidP="000F76AA">
      <w:pPr>
        <w:pStyle w:val="AllowPageBreak"/>
      </w:pPr>
    </w:p>
    <w:p w:rsidR="00000000" w:rsidRPr="000F76AA" w:rsidP="000F76AA">
      <w:pPr>
        <w:pStyle w:val="Heading1"/>
      </w:pPr>
      <w:bookmarkStart w:id="2" w:name="O_1103850"/>
      <w:bookmarkEnd w:id="2"/>
      <w:r w:rsidRPr="000F76A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6AA">
            <w:pPr>
              <w:pStyle w:val="BodyText"/>
              <w:rPr>
                <w:lang w:val="en-NZ"/>
              </w:rPr>
            </w:pPr>
            <w:r w:rsidRPr="000F76AA">
              <w:t>Evidence required to demonstrate competence in this unit must be relevant to and satisfy all of the req</w:t>
            </w:r>
            <w:r w:rsidRPr="000F76AA">
              <w:t>uirements of the elements, performance criteria and range of conditions on at least one occasion and include:</w:t>
            </w:r>
          </w:p>
        </w:tc>
      </w:tr>
      <w:tr w:rsidTr="000F7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6AA" w:rsidP="000F76AA">
            <w:pPr>
              <w:pStyle w:val="ListBullet"/>
            </w:pPr>
            <w:r w:rsidRPr="000F76AA">
              <w:t>determining the extent and nature of the lighting requirements from a design brief</w:t>
            </w:r>
          </w:p>
          <w:p w:rsidR="00000000" w:rsidRPr="000F76AA" w:rsidP="000F76AA">
            <w:pPr>
              <w:pStyle w:val="ListBullet"/>
            </w:pPr>
            <w:r w:rsidRPr="000F76AA">
              <w:t>identifying and understanding safety and other requirements t</w:t>
            </w:r>
            <w:r w:rsidRPr="000F76AA">
              <w:t>o which the lighting design shall comply</w:t>
            </w:r>
          </w:p>
          <w:p w:rsidR="00000000" w:rsidRPr="000F76AA" w:rsidP="000F76AA">
            <w:pPr>
              <w:pStyle w:val="ListBullet"/>
            </w:pPr>
            <w:r w:rsidRPr="000F76AA">
              <w:t>planning to meet scheduled timelines</w:t>
            </w:r>
          </w:p>
          <w:p w:rsidR="00000000" w:rsidRPr="000F76AA" w:rsidP="000F76AA">
            <w:pPr>
              <w:pStyle w:val="ListBullet"/>
            </w:pPr>
            <w:r w:rsidRPr="000F76AA">
              <w:t>applying appropriate knowledge of lighting performance compliance and lighting equipment in designing the lighting</w:t>
            </w:r>
          </w:p>
          <w:p w:rsidR="00000000" w:rsidRPr="000F76AA" w:rsidP="000F76AA">
            <w:pPr>
              <w:pStyle w:val="ListBullet"/>
            </w:pPr>
            <w:r w:rsidRPr="000F76AA">
              <w:t>considering alternative arrangements for the lighting design, i</w:t>
            </w:r>
            <w:r w:rsidRPr="000F76AA">
              <w:t>ncluding safety, functional, maintenance and budgetary factors in the lighting design</w:t>
            </w:r>
          </w:p>
          <w:p w:rsidR="00000000" w:rsidRPr="000F76AA" w:rsidP="000F76AA">
            <w:pPr>
              <w:pStyle w:val="ListBullet"/>
            </w:pPr>
            <w:r w:rsidRPr="000F76AA">
              <w:t>documenting and presenting the lighting design</w:t>
            </w:r>
          </w:p>
          <w:p w:rsidR="00000000" w:rsidRPr="000F76AA" w:rsidP="000F76AA">
            <w:pPr>
              <w:pStyle w:val="ListBullet"/>
            </w:pPr>
            <w:r w:rsidRPr="000F76AA">
              <w:t>responding appropriately to requests to alter the design</w:t>
            </w:r>
          </w:p>
          <w:p w:rsidR="00000000" w:rsidRPr="000F76AA" w:rsidP="000F76AA">
            <w:pPr>
              <w:pStyle w:val="ListBullet"/>
            </w:pPr>
            <w:r w:rsidRPr="000F76AA">
              <w:t>documenting and obtaining approval of the lighting design</w:t>
            </w:r>
          </w:p>
          <w:p w:rsidR="00000000" w:rsidRPr="000F76AA" w:rsidP="000F76AA">
            <w:pPr>
              <w:pStyle w:val="ListBullet"/>
            </w:pPr>
            <w:r w:rsidRPr="000F76AA">
              <w:t>dealing appropriately with unplanned events</w:t>
            </w:r>
          </w:p>
          <w:p w:rsidR="00000000" w:rsidRPr="000F76AA" w:rsidP="000F76AA">
            <w:pPr>
              <w:pStyle w:val="ListBullet"/>
            </w:pPr>
            <w:r w:rsidRPr="000F76AA">
              <w:t>applying relevant work health and safety (WHS)/occupational health and safety (OHS) requirements, including using risk control measures</w:t>
            </w:r>
          </w:p>
          <w:p w:rsidR="00000000" w:rsidRPr="000F76AA" w:rsidP="000F76AA">
            <w:pPr>
              <w:pStyle w:val="ListBullet"/>
            </w:pPr>
            <w:r w:rsidRPr="000F76AA">
              <w:t>developing lighting design</w:t>
            </w:r>
          </w:p>
          <w:p w:rsidR="00000000" w:rsidRPr="000F76AA" w:rsidP="000F76AA">
            <w:pPr>
              <w:pStyle w:val="ListBullet"/>
            </w:pPr>
            <w:r w:rsidRPr="000F76AA">
              <w:t>identifying and applying safety and relevant cond</w:t>
            </w:r>
            <w:r w:rsidRPr="000F76AA">
              <w:t>itions in accordance with relevant industry standards</w:t>
            </w:r>
          </w:p>
          <w:p w:rsidR="00000000" w:rsidRPr="000F76AA" w:rsidP="000F76AA">
            <w:pPr>
              <w:pStyle w:val="ListBullet"/>
            </w:pPr>
            <w:r w:rsidRPr="000F76AA">
              <w:t>monitoring quality of work</w:t>
            </w:r>
          </w:p>
          <w:p w:rsidR="00000000" w:rsidRPr="000F76AA" w:rsidP="000F76AA">
            <w:pPr>
              <w:pStyle w:val="ListBullet"/>
            </w:pPr>
            <w:r w:rsidRPr="000F76AA">
              <w:t>preparing to design lighting for public, open and sports areas.</w:t>
            </w:r>
          </w:p>
        </w:tc>
      </w:tr>
    </w:tbl>
    <w:p w:rsidR="00000000" w:rsidRPr="000F76AA" w:rsidP="000F76AA">
      <w:pPr>
        <w:pStyle w:val="NoPaddingFontSize1"/>
      </w:pPr>
    </w:p>
    <w:p w:rsidR="00000000" w:rsidRPr="000F76AA" w:rsidP="000F76AA">
      <w:pPr>
        <w:pStyle w:val="AllowPageBreak"/>
      </w:pPr>
    </w:p>
    <w:p w:rsidR="00000000" w:rsidRPr="000F76AA" w:rsidP="000F76AA">
      <w:pPr>
        <w:pStyle w:val="Heading1"/>
      </w:pPr>
      <w:bookmarkStart w:id="3" w:name="O_1103851"/>
      <w:bookmarkEnd w:id="3"/>
      <w:r w:rsidRPr="000F76A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6AA">
            <w:pPr>
              <w:pStyle w:val="BodyText"/>
              <w:rPr>
                <w:lang w:val="en-NZ"/>
              </w:rPr>
            </w:pPr>
            <w:r w:rsidRPr="000F76AA">
              <w:t>Evidence required to demonstrate competence in this unit must be releva</w:t>
            </w:r>
            <w:r w:rsidRPr="000F76AA">
              <w:t>nt to and satisfy all of the requirements of the elements, performance criteria and range of conditions and include knowledge of:</w:t>
            </w:r>
          </w:p>
        </w:tc>
      </w:tr>
      <w:tr w:rsidTr="000F7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6AA" w:rsidP="000F76AA">
            <w:pPr>
              <w:pStyle w:val="ListBullet"/>
            </w:pPr>
            <w:r w:rsidRPr="000F76AA">
              <w:t>open area and sports lighting design for outdoor and sports application lighting, including:</w:t>
            </w:r>
          </w:p>
          <w:p w:rsidR="00000000" w:rsidRPr="000F76AA" w:rsidP="000F76AA">
            <w:pPr>
              <w:pStyle w:val="ListBullet2"/>
            </w:pPr>
            <w:r w:rsidRPr="000F76AA">
              <w:t>reasons for quality lighting in sport</w:t>
            </w:r>
          </w:p>
          <w:p w:rsidR="00000000" w:rsidRPr="000F76AA" w:rsidP="000F76AA">
            <w:pPr>
              <w:pStyle w:val="ListBullet2"/>
            </w:pPr>
            <w:r w:rsidRPr="000F76AA">
              <w:t>key terms in open area and sports lighting encompassing:</w:t>
            </w:r>
          </w:p>
          <w:p w:rsidR="00000000" w:rsidRPr="000F76AA" w:rsidP="000F76AA">
            <w:pPr>
              <w:pStyle w:val="ListBullet3"/>
            </w:pPr>
            <w:r w:rsidRPr="000F76AA">
              <w:t>quantity of light required</w:t>
            </w:r>
          </w:p>
          <w:p w:rsidR="00000000" w:rsidRPr="000F76AA" w:rsidP="000F76AA">
            <w:pPr>
              <w:pStyle w:val="ListBullet3"/>
            </w:pPr>
            <w:r w:rsidRPr="000F76AA">
              <w:t>horizontal luminance</w:t>
            </w:r>
          </w:p>
          <w:p w:rsidR="00000000" w:rsidRPr="000F76AA" w:rsidP="000F76AA">
            <w:pPr>
              <w:pStyle w:val="ListBullet3"/>
            </w:pPr>
            <w:r w:rsidRPr="000F76AA">
              <w:t>vertical illuminance</w:t>
            </w:r>
          </w:p>
          <w:p w:rsidR="00000000" w:rsidRPr="000F76AA" w:rsidP="000F76AA">
            <w:pPr>
              <w:pStyle w:val="ListBullet3"/>
            </w:pPr>
            <w:r w:rsidRPr="000F76AA">
              <w:t>illuminance uniformity</w:t>
            </w:r>
          </w:p>
          <w:p w:rsidR="00000000" w:rsidRPr="000F76AA" w:rsidP="000F76AA">
            <w:pPr>
              <w:pStyle w:val="ListBullet3"/>
            </w:pPr>
            <w:r w:rsidRPr="000F76AA">
              <w:t>uniformity gradient</w:t>
            </w:r>
          </w:p>
          <w:p w:rsidR="00000000" w:rsidRPr="000F76AA" w:rsidP="000F76AA">
            <w:pPr>
              <w:pStyle w:val="ListBullet3"/>
            </w:pPr>
            <w:r w:rsidRPr="000F76AA">
              <w:t>modelling and shadows</w:t>
            </w:r>
          </w:p>
          <w:p w:rsidR="00000000" w:rsidRPr="000F76AA" w:rsidP="000F76AA">
            <w:pPr>
              <w:pStyle w:val="ListBullet3"/>
            </w:pPr>
            <w:r w:rsidRPr="000F76AA">
              <w:t>colour rendering</w:t>
            </w:r>
          </w:p>
          <w:p w:rsidR="00000000" w:rsidRPr="000F76AA" w:rsidP="000F76AA">
            <w:pPr>
              <w:pStyle w:val="ListBullet3"/>
            </w:pPr>
            <w:r w:rsidRPr="000F76AA">
              <w:t>colour temperature</w:t>
            </w:r>
          </w:p>
          <w:p w:rsidR="00000000" w:rsidRPr="000F76AA" w:rsidP="000F76AA">
            <w:pPr>
              <w:pStyle w:val="ListBullet3"/>
            </w:pPr>
            <w:r w:rsidRPr="000F76AA">
              <w:t>glare</w:t>
            </w:r>
          </w:p>
          <w:p w:rsidR="00000000" w:rsidRPr="000F76AA" w:rsidP="000F76AA">
            <w:pPr>
              <w:pStyle w:val="ListBullet3"/>
            </w:pPr>
            <w:r w:rsidRPr="000F76AA">
              <w:t>emergency escape lighting</w:t>
            </w:r>
          </w:p>
          <w:p w:rsidR="00000000" w:rsidRPr="000F76AA" w:rsidP="000F76AA">
            <w:pPr>
              <w:pStyle w:val="ListBullet3"/>
            </w:pPr>
            <w:r w:rsidRPr="000F76AA">
              <w:t>switching mode</w:t>
            </w:r>
          </w:p>
          <w:p w:rsidR="00000000" w:rsidRPr="000F76AA" w:rsidP="000F76AA">
            <w:pPr>
              <w:pStyle w:val="ListBullet3"/>
            </w:pPr>
            <w:r w:rsidRPr="000F76AA">
              <w:t>emergency (continuity) TV lighting</w:t>
            </w:r>
          </w:p>
          <w:p w:rsidR="00000000" w:rsidRPr="000F76AA" w:rsidP="000F76AA">
            <w:pPr>
              <w:pStyle w:val="ListBullet3"/>
            </w:pPr>
            <w:r w:rsidRPr="000F76AA">
              <w:t>obtrusive light</w:t>
            </w:r>
          </w:p>
          <w:p w:rsidR="00000000" w:rsidRPr="000F76AA" w:rsidP="000F76AA">
            <w:pPr>
              <w:pStyle w:val="ListBullet2"/>
            </w:pPr>
            <w:r w:rsidRPr="000F76AA">
              <w:t>the sports lighting design process encompassing:</w:t>
            </w:r>
          </w:p>
          <w:p w:rsidR="00000000" w:rsidRPr="000F76AA" w:rsidP="000F76AA">
            <w:pPr>
              <w:pStyle w:val="ListBullet3"/>
            </w:pPr>
            <w:r w:rsidRPr="000F76AA">
              <w:t>project definition</w:t>
            </w:r>
          </w:p>
          <w:p w:rsidR="00000000" w:rsidRPr="000F76AA" w:rsidP="000F76AA">
            <w:pPr>
              <w:pStyle w:val="ListBullet3"/>
            </w:pPr>
            <w:r w:rsidRPr="000F76AA">
              <w:t>lighting study</w:t>
            </w:r>
          </w:p>
          <w:p w:rsidR="00000000" w:rsidRPr="000F76AA" w:rsidP="000F76AA">
            <w:pPr>
              <w:pStyle w:val="ListBullet3"/>
            </w:pPr>
            <w:r w:rsidRPr="000F76AA">
              <w:t>questions for indoor and outdoor venues</w:t>
            </w:r>
          </w:p>
          <w:p w:rsidR="00000000" w:rsidRPr="000F76AA" w:rsidP="000F76AA">
            <w:pPr>
              <w:pStyle w:val="ListBullet3"/>
            </w:pPr>
            <w:r w:rsidRPr="000F76AA">
              <w:t>lamp selection</w:t>
            </w:r>
          </w:p>
          <w:p w:rsidR="00000000" w:rsidRPr="000F76AA" w:rsidP="000F76AA">
            <w:pPr>
              <w:pStyle w:val="ListBullet3"/>
            </w:pPr>
            <w:r w:rsidRPr="000F76AA">
              <w:t>luminaire selection</w:t>
            </w:r>
          </w:p>
          <w:p w:rsidR="00000000" w:rsidRPr="000F76AA" w:rsidP="000F76AA">
            <w:pPr>
              <w:pStyle w:val="ListBullet3"/>
            </w:pPr>
            <w:r w:rsidRPr="000F76AA">
              <w:t>arrangement of luminaires</w:t>
            </w:r>
          </w:p>
          <w:p w:rsidR="00000000" w:rsidRPr="000F76AA" w:rsidP="000F76AA">
            <w:pPr>
              <w:pStyle w:val="ListBullet3"/>
            </w:pPr>
            <w:r w:rsidRPr="000F76AA">
              <w:t>cost of ownership</w:t>
            </w:r>
          </w:p>
          <w:p w:rsidR="00000000" w:rsidRPr="000F76AA" w:rsidP="000F76AA">
            <w:pPr>
              <w:pStyle w:val="ListBullet3"/>
            </w:pPr>
            <w:r w:rsidRPr="000F76AA">
              <w:t>installation</w:t>
            </w:r>
          </w:p>
          <w:p w:rsidR="00000000" w:rsidRPr="000F76AA" w:rsidP="000F76AA">
            <w:pPr>
              <w:pStyle w:val="ListBullet3"/>
            </w:pPr>
            <w:r w:rsidRPr="000F76AA">
              <w:t>aiming, measuring and commissioning</w:t>
            </w:r>
          </w:p>
          <w:p w:rsidR="00000000" w:rsidRPr="000F76AA" w:rsidP="000F76AA">
            <w:pPr>
              <w:pStyle w:val="ListBullet3"/>
            </w:pPr>
            <w:r w:rsidRPr="000F76AA">
              <w:t>maintenance</w:t>
            </w:r>
          </w:p>
          <w:p w:rsidR="00000000" w:rsidRPr="000F76AA" w:rsidP="000F76AA">
            <w:pPr>
              <w:pStyle w:val="ListBullet2"/>
            </w:pPr>
            <w:r w:rsidRPr="000F76AA">
              <w:t>layout for lighting in multi-purpose halls and enclosed areas</w:t>
            </w:r>
          </w:p>
          <w:p w:rsidR="00000000" w:rsidRPr="000F76AA" w:rsidP="000F76AA">
            <w:pPr>
              <w:pStyle w:val="ListBullet2"/>
            </w:pPr>
            <w:r w:rsidRPr="000F76AA">
              <w:t>sports grounds and stadiums:</w:t>
            </w:r>
          </w:p>
          <w:p w:rsidR="00000000" w:rsidRPr="000F76AA" w:rsidP="000F76AA">
            <w:pPr>
              <w:pStyle w:val="ListBullet3"/>
            </w:pPr>
            <w:r w:rsidRPr="000F76AA">
              <w:t>lighting configuration</w:t>
            </w:r>
          </w:p>
          <w:p w:rsidR="00000000" w:rsidRPr="000F76AA" w:rsidP="000F76AA">
            <w:pPr>
              <w:pStyle w:val="ListBullet3"/>
            </w:pPr>
            <w:r w:rsidRPr="000F76AA">
              <w:t>sports grounds</w:t>
            </w:r>
            <w:r w:rsidRPr="000F76AA">
              <w:t xml:space="preserve"> with no spectator stand</w:t>
            </w:r>
          </w:p>
          <w:p w:rsidR="00000000" w:rsidRPr="000F76AA" w:rsidP="000F76AA">
            <w:pPr>
              <w:pStyle w:val="ListBullet3"/>
            </w:pPr>
            <w:r w:rsidRPr="000F76AA">
              <w:t>sports grounds and stadiums with a spectator stand</w:t>
            </w:r>
          </w:p>
          <w:p w:rsidR="00000000" w:rsidRPr="000F76AA" w:rsidP="000F76AA">
            <w:pPr>
              <w:pStyle w:val="ListBullet2"/>
            </w:pPr>
            <w:r w:rsidRPr="000F76AA">
              <w:t>swimming/diving areas</w:t>
            </w:r>
          </w:p>
          <w:p w:rsidR="00000000" w:rsidRPr="000F76AA" w:rsidP="000F76AA">
            <w:pPr>
              <w:pStyle w:val="ListBullet2"/>
            </w:pPr>
            <w:r w:rsidRPr="000F76AA">
              <w:t>other considerations:</w:t>
            </w:r>
          </w:p>
          <w:p w:rsidR="00000000" w:rsidRPr="000F76AA" w:rsidP="000F76AA">
            <w:pPr>
              <w:pStyle w:val="ListBullet3"/>
            </w:pPr>
            <w:r w:rsidRPr="000F76AA">
              <w:t>theatrical lighting effects and dynamic lighting</w:t>
            </w:r>
          </w:p>
          <w:p w:rsidR="00000000" w:rsidRPr="000F76AA" w:rsidP="000F76AA">
            <w:pPr>
              <w:pStyle w:val="ListBullet2"/>
            </w:pPr>
            <w:r w:rsidRPr="000F76AA">
              <w:t>recommendations:</w:t>
            </w:r>
          </w:p>
          <w:p w:rsidR="00000000" w:rsidRPr="000F76AA" w:rsidP="000F76AA">
            <w:pPr>
              <w:pStyle w:val="ListBullet3"/>
            </w:pPr>
            <w:r w:rsidRPr="000F76AA">
              <w:t>recommendations for non-televised events</w:t>
            </w:r>
          </w:p>
          <w:p w:rsidR="00000000" w:rsidRPr="000F76AA" w:rsidP="000F76AA">
            <w:pPr>
              <w:pStyle w:val="ListBullet3"/>
            </w:pPr>
            <w:r w:rsidRPr="000F76AA">
              <w:t>classes of play</w:t>
            </w:r>
          </w:p>
          <w:p w:rsidR="00000000" w:rsidRPr="000F76AA" w:rsidP="000F76AA">
            <w:pPr>
              <w:pStyle w:val="ListBullet3"/>
            </w:pPr>
            <w:r w:rsidRPr="000F76AA">
              <w:t>recommendations for televised events</w:t>
            </w:r>
          </w:p>
          <w:p w:rsidR="00000000" w:rsidRPr="000F76AA" w:rsidP="000F76AA">
            <w:pPr>
              <w:pStyle w:val="ListBullet"/>
            </w:pPr>
            <w:r w:rsidRPr="000F76AA">
              <w:t>problem-solving techniques</w:t>
            </w:r>
          </w:p>
          <w:p w:rsidR="00000000" w:rsidRPr="000F76AA" w:rsidP="000F76AA">
            <w:pPr>
              <w:pStyle w:val="ListBullet"/>
            </w:pPr>
            <w:r w:rsidRPr="000F76AA">
              <w:t>relevant manufacturer specifications and operating instructions</w:t>
            </w:r>
          </w:p>
          <w:p w:rsidR="00000000" w:rsidRPr="000F76AA" w:rsidP="000F76AA">
            <w:pPr>
              <w:pStyle w:val="ListBullet"/>
            </w:pPr>
            <w:r w:rsidRPr="000F76AA">
              <w:t>relevant job safety assessments or risk mitigation processes</w:t>
            </w:r>
          </w:p>
          <w:p w:rsidR="00000000" w:rsidRPr="000F76AA" w:rsidP="000F76AA">
            <w:pPr>
              <w:pStyle w:val="ListBullet"/>
            </w:pPr>
            <w:r w:rsidRPr="000F76AA">
              <w:t>relevant WHS/OHS legislated requirements</w:t>
            </w:r>
          </w:p>
          <w:p w:rsidR="00000000" w:rsidRPr="000F76AA" w:rsidP="000F76AA">
            <w:pPr>
              <w:pStyle w:val="ListBullet"/>
            </w:pPr>
            <w:r w:rsidRPr="000F76AA">
              <w:t>relevant workplace quality, instructions, policies and procedures.</w:t>
            </w:r>
          </w:p>
        </w:tc>
      </w:tr>
    </w:tbl>
    <w:p w:rsidR="00000000" w:rsidRPr="000F76AA" w:rsidP="000F76AA">
      <w:pPr>
        <w:pStyle w:val="NoPaddingFontSize1"/>
      </w:pPr>
    </w:p>
    <w:p w:rsidR="00000000" w:rsidRPr="000F76AA" w:rsidP="000F76AA">
      <w:pPr>
        <w:pStyle w:val="AllowPageBreak"/>
      </w:pPr>
    </w:p>
    <w:p w:rsidR="00000000" w:rsidRPr="000F76AA" w:rsidP="000F76AA">
      <w:pPr>
        <w:pStyle w:val="Heading1"/>
      </w:pPr>
      <w:bookmarkStart w:id="4" w:name="O_1103852"/>
      <w:bookmarkEnd w:id="4"/>
      <w:r w:rsidRPr="000F76A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6AA" w:rsidP="000F76AA">
            <w:pPr>
              <w:pStyle w:val="BodyText"/>
            </w:pPr>
            <w:r w:rsidRPr="000F76AA">
              <w:t>Assessors must hold credentials specified within the Standards for Registered Training Organisations current at the time of assessment.</w:t>
            </w:r>
          </w:p>
          <w:p w:rsidR="00000000" w:rsidRPr="000F76AA" w:rsidP="000F76AA">
            <w:pPr>
              <w:pStyle w:val="BodyText"/>
            </w:pPr>
            <w:r w:rsidRPr="000F76AA">
              <w:t>Assessment</w:t>
            </w:r>
            <w:r w:rsidRPr="000F76AA">
              <w:t xml:space="preserve">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F76AA" w:rsidP="000F76AA">
            <w:pPr>
              <w:pStyle w:val="BodyText"/>
            </w:pPr>
            <w:r w:rsidRPr="000F76AA">
              <w:t xml:space="preserve">Assessment must occur in suitable workplace operational </w:t>
            </w:r>
            <w:r w:rsidRPr="000F76AA">
              <w:t>situations where it is appropriate to do so; where this is not appropriate, assessment must occur in simulated suitable workplace operational situations that replicate workplace conditions.</w:t>
            </w:r>
          </w:p>
          <w:p w:rsidR="00000000" w:rsidRPr="000F76AA" w:rsidP="000F76AA">
            <w:pPr>
              <w:pStyle w:val="BodyText"/>
            </w:pPr>
            <w:r w:rsidRPr="000F76AA">
              <w:t>Assessment processes and techniques must be appropriate to the lan</w:t>
            </w:r>
            <w:r w:rsidRPr="000F76AA">
              <w:t>guage, literacy and numeracy requirements of the work being performed and the needs of the candidate.</w:t>
            </w:r>
          </w:p>
          <w:p w:rsidR="00000000" w:rsidRPr="000F76AA" w:rsidP="000F76AA">
            <w:pPr>
              <w:pStyle w:val="BodyText"/>
            </w:pPr>
            <w:r w:rsidRPr="000F76AA">
              <w:t>Resources for assessment must include access to:</w:t>
            </w:r>
          </w:p>
          <w:p w:rsidR="00000000" w:rsidRPr="000F76AA" w:rsidP="000F76AA">
            <w:pPr>
              <w:pStyle w:val="ListBullet"/>
            </w:pPr>
            <w:r w:rsidRPr="000F76AA">
              <w:t>a range of relevant exercises, case studies and/or simulations</w:t>
            </w:r>
          </w:p>
          <w:p w:rsidR="00000000" w:rsidRPr="000F76AA" w:rsidP="000F76AA">
            <w:pPr>
              <w:pStyle w:val="ListBullet"/>
            </w:pPr>
            <w:r w:rsidRPr="000F76AA">
              <w:t>relevant and appropriate materials, tools</w:t>
            </w:r>
            <w:r w:rsidRPr="000F76AA">
              <w:t>, facilities and equipment currently used in industry</w:t>
            </w:r>
          </w:p>
          <w:p w:rsidR="00000000" w:rsidRPr="000F76AA" w:rsidP="000F76AA">
            <w:pPr>
              <w:pStyle w:val="ListBullet"/>
            </w:pPr>
            <w:r w:rsidRPr="000F76AA">
              <w:t>resources that reflect current industry practices in relation to designing effective and efficient lighting for public, open and sports areas</w:t>
            </w:r>
          </w:p>
          <w:p w:rsidR="00000000" w:rsidRPr="000F76AA" w:rsidP="000F76AA">
            <w:pPr>
              <w:pStyle w:val="ListBullet"/>
            </w:pPr>
            <w:r w:rsidRPr="000F76AA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F76AA" w:rsidP="000F76AA">
      <w:pPr>
        <w:pStyle w:val="NoPaddingFontSize1"/>
      </w:pPr>
    </w:p>
    <w:p w:rsidR="00000000" w:rsidRPr="000F76AA" w:rsidP="000F76AA">
      <w:pPr>
        <w:pStyle w:val="AllowPageBreak"/>
      </w:pPr>
    </w:p>
    <w:p w:rsidR="00000000" w:rsidRPr="000F76AA" w:rsidP="000F76AA">
      <w:pPr>
        <w:pStyle w:val="Heading1"/>
      </w:pPr>
      <w:bookmarkStart w:id="5" w:name="O_1103855"/>
      <w:bookmarkEnd w:id="5"/>
      <w:r w:rsidRPr="000F76AA">
        <w:t>Links</w:t>
      </w:r>
    </w:p>
    <w:p w:rsidR="00000000" w:rsidRPr="000F76AA" w:rsidP="00600748">
      <w:pPr>
        <w:pStyle w:val="BodyText"/>
      </w:pPr>
      <w:r w:rsidRPr="000F76A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B19C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F76AA" w:rsidP="000F76AA"/>
    <w:sectPr w:rsidSect="000F76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6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6AA" w:rsidRPr="00600748" w:rsidP="006007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6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748" w:rsidP="000F76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748" w:rsidP="000F76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00748" w:rsidP="000F76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6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7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6AA" w:rsidRPr="00600748" w:rsidP="006007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6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748" w:rsidRPr="002D2AF8" w:rsidP="000F76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UEEEL0035 Design effective and efficient lighting for public, open and sports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00748" w:rsidP="000F76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44E9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72A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B2F0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6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6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6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6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6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6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6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6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6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6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6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6AA"/>
  </w:style>
  <w:style w:type="character" w:customStyle="1" w:styleId="Heading1Char">
    <w:name w:val="Heading 1 Char"/>
    <w:basedOn w:val="DefaultParagraphFont"/>
    <w:link w:val="Heading1"/>
    <w:rsid w:val="000F76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6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6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6A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76A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76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6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F76AA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76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6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6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6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6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6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6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6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6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6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6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6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6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6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6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6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76AA"/>
    <w:rPr>
      <w:b/>
      <w:spacing w:val="0"/>
    </w:rPr>
  </w:style>
  <w:style w:type="paragraph" w:customStyle="1" w:styleId="SuperTitle">
    <w:name w:val="SuperTitle"/>
    <w:basedOn w:val="Title"/>
    <w:rsid w:val="000F76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6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6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6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6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6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6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6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6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6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6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6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6AA"/>
    <w:rPr>
      <w:i/>
    </w:rPr>
  </w:style>
  <w:style w:type="paragraph" w:styleId="Caption">
    <w:name w:val="caption"/>
    <w:basedOn w:val="BodyText"/>
    <w:next w:val="Normal"/>
    <w:qFormat/>
    <w:rsid w:val="000F76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6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6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6AA"/>
  </w:style>
  <w:style w:type="paragraph" w:styleId="TableofFigures">
    <w:name w:val="table of figures"/>
    <w:basedOn w:val="Normal"/>
    <w:next w:val="Normal"/>
    <w:semiHidden/>
    <w:rsid w:val="000F76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6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F76AA"/>
    <w:rPr>
      <w:rFonts w:ascii="Wingdings" w:hAnsi="Wingdings"/>
    </w:rPr>
  </w:style>
  <w:style w:type="paragraph" w:customStyle="1" w:styleId="TableHeading">
    <w:name w:val="Table Heading"/>
    <w:basedOn w:val="HeadingBase"/>
    <w:rsid w:val="000F76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6AA"/>
    <w:rPr>
      <w:color w:val="0033CC"/>
      <w:u w:val="none"/>
    </w:rPr>
  </w:style>
  <w:style w:type="paragraph" w:customStyle="1" w:styleId="BodyTextRight">
    <w:name w:val="Body Text Right"/>
    <w:basedOn w:val="BodyText"/>
    <w:rsid w:val="000F76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6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6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6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6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6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6AA"/>
    <w:rPr>
      <w:sz w:val="32"/>
    </w:rPr>
  </w:style>
  <w:style w:type="paragraph" w:customStyle="1" w:styleId="HeadingProcedure">
    <w:name w:val="Heading Procedure"/>
    <w:basedOn w:val="HeadingBase"/>
    <w:next w:val="Normal"/>
    <w:rsid w:val="000F76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6AA"/>
    <w:pPr>
      <w:spacing w:before="60" w:after="60"/>
    </w:pPr>
  </w:style>
  <w:style w:type="paragraph" w:styleId="ListContinue">
    <w:name w:val="List Continue"/>
    <w:basedOn w:val="List"/>
    <w:rsid w:val="000F76AA"/>
    <w:pPr>
      <w:ind w:firstLine="0"/>
    </w:pPr>
  </w:style>
  <w:style w:type="paragraph" w:customStyle="1" w:styleId="ListNote">
    <w:name w:val="List Note"/>
    <w:basedOn w:val="List"/>
    <w:rsid w:val="000F76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6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6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6AA"/>
    <w:rPr>
      <w:rFonts w:ascii="Courier New" w:hAnsi="Courier New"/>
    </w:rPr>
  </w:style>
  <w:style w:type="paragraph" w:customStyle="1" w:styleId="NoteBullet">
    <w:name w:val="Note Bullet"/>
    <w:basedOn w:val="Note"/>
    <w:rsid w:val="000F76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6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6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6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6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76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6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6AA"/>
    <w:rPr>
      <w:b/>
      <w:smallCaps/>
    </w:rPr>
  </w:style>
  <w:style w:type="paragraph" w:customStyle="1" w:styleId="TableListNumber">
    <w:name w:val="Table List Number"/>
    <w:basedOn w:val="ListNumber"/>
    <w:rsid w:val="000F76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6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6AA"/>
    <w:pPr>
      <w:numPr>
        <w:numId w:val="10"/>
      </w:numPr>
    </w:pPr>
  </w:style>
  <w:style w:type="paragraph" w:customStyle="1" w:styleId="ListAlpha2">
    <w:name w:val="List Alpha 2"/>
    <w:basedOn w:val="List2"/>
    <w:rsid w:val="000F76AA"/>
    <w:pPr>
      <w:numPr>
        <w:numId w:val="9"/>
      </w:numPr>
    </w:pPr>
  </w:style>
  <w:style w:type="paragraph" w:styleId="List2">
    <w:name w:val="List 2"/>
    <w:basedOn w:val="BodyText"/>
    <w:rsid w:val="000F76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6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6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6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F76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F76AA"/>
    <w:pPr>
      <w:numPr>
        <w:numId w:val="5"/>
      </w:numPr>
    </w:pPr>
  </w:style>
  <w:style w:type="paragraph" w:styleId="ListContinue2">
    <w:name w:val="List Continue 2"/>
    <w:basedOn w:val="List2"/>
    <w:rsid w:val="000F76AA"/>
    <w:pPr>
      <w:ind w:firstLine="0"/>
    </w:pPr>
  </w:style>
  <w:style w:type="paragraph" w:styleId="ListContinue3">
    <w:name w:val="List Continue 3"/>
    <w:basedOn w:val="List3"/>
    <w:rsid w:val="000F76AA"/>
    <w:pPr>
      <w:ind w:left="1021" w:firstLine="0"/>
    </w:pPr>
  </w:style>
  <w:style w:type="paragraph" w:styleId="ListContinue4">
    <w:name w:val="List Continue 4"/>
    <w:basedOn w:val="List4"/>
    <w:rsid w:val="000F76AA"/>
    <w:pPr>
      <w:ind w:firstLine="0"/>
    </w:pPr>
  </w:style>
  <w:style w:type="paragraph" w:styleId="ListContinue5">
    <w:name w:val="List Continue 5"/>
    <w:basedOn w:val="List5"/>
    <w:rsid w:val="000F76AA"/>
    <w:pPr>
      <w:ind w:firstLine="0"/>
    </w:pPr>
  </w:style>
  <w:style w:type="paragraph" w:styleId="ListNumber3">
    <w:name w:val="List Number 3"/>
    <w:basedOn w:val="List3"/>
    <w:rsid w:val="000F76AA"/>
    <w:pPr>
      <w:numPr>
        <w:numId w:val="6"/>
      </w:numPr>
    </w:pPr>
  </w:style>
  <w:style w:type="paragraph" w:styleId="ListNumber4">
    <w:name w:val="List Number 4"/>
    <w:basedOn w:val="List4"/>
    <w:rsid w:val="000F76AA"/>
    <w:pPr>
      <w:numPr>
        <w:numId w:val="7"/>
      </w:numPr>
    </w:pPr>
  </w:style>
  <w:style w:type="paragraph" w:styleId="ListNumber5">
    <w:name w:val="List Number 5"/>
    <w:basedOn w:val="List5"/>
    <w:rsid w:val="000F76AA"/>
    <w:pPr>
      <w:numPr>
        <w:numId w:val="8"/>
      </w:numPr>
    </w:pPr>
  </w:style>
  <w:style w:type="paragraph" w:styleId="BlockText">
    <w:name w:val="Block Text"/>
    <w:basedOn w:val="Normal"/>
    <w:rsid w:val="000F76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6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6AA"/>
    <w:rPr>
      <w:sz w:val="16"/>
      <w:vertAlign w:val="superscript"/>
    </w:rPr>
  </w:style>
  <w:style w:type="character" w:customStyle="1" w:styleId="Symbols">
    <w:name w:val="Symbols"/>
    <w:basedOn w:val="DefaultParagraphFont"/>
    <w:rsid w:val="000F76AA"/>
    <w:rPr>
      <w:rFonts w:ascii="Symbol" w:hAnsi="Symbol"/>
    </w:rPr>
  </w:style>
  <w:style w:type="character" w:customStyle="1" w:styleId="MenuOptions">
    <w:name w:val="Menu Options"/>
    <w:basedOn w:val="DefaultParagraphFont"/>
    <w:rsid w:val="000F76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6AA"/>
    <w:rPr>
      <w:b/>
    </w:rPr>
  </w:style>
  <w:style w:type="character" w:customStyle="1" w:styleId="Underlined">
    <w:name w:val="Underlined"/>
    <w:basedOn w:val="DefaultParagraphFont"/>
    <w:rsid w:val="000F76AA"/>
    <w:rPr>
      <w:u w:val="single"/>
    </w:rPr>
  </w:style>
  <w:style w:type="paragraph" w:customStyle="1" w:styleId="TableBodyTextRight">
    <w:name w:val="Table Body Text Right"/>
    <w:basedOn w:val="TableBodyText"/>
    <w:rsid w:val="000F76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6AA"/>
    <w:rPr>
      <w:sz w:val="18"/>
    </w:rPr>
  </w:style>
  <w:style w:type="paragraph" w:customStyle="1" w:styleId="BodySmallRight">
    <w:name w:val="Body Small Right"/>
    <w:basedOn w:val="BodyTextRight"/>
    <w:rsid w:val="000F76AA"/>
    <w:rPr>
      <w:sz w:val="18"/>
      <w:szCs w:val="18"/>
    </w:rPr>
  </w:style>
  <w:style w:type="paragraph" w:customStyle="1" w:styleId="MarginEdition">
    <w:name w:val="Margin Edition"/>
    <w:basedOn w:val="MarginNote"/>
    <w:rsid w:val="000F76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6AA"/>
    <w:rPr>
      <w:sz w:val="2"/>
      <w:szCs w:val="2"/>
    </w:rPr>
  </w:style>
  <w:style w:type="character" w:customStyle="1" w:styleId="Small">
    <w:name w:val="Small"/>
    <w:basedOn w:val="DefaultParagraphFont"/>
    <w:rsid w:val="000F76AA"/>
    <w:rPr>
      <w:sz w:val="16"/>
    </w:rPr>
  </w:style>
  <w:style w:type="paragraph" w:customStyle="1" w:styleId="WideTable">
    <w:name w:val="Wide Table"/>
    <w:basedOn w:val="Normal"/>
    <w:rsid w:val="000F76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6AA"/>
  </w:style>
  <w:style w:type="paragraph" w:styleId="Quote">
    <w:name w:val="Quote"/>
    <w:basedOn w:val="Heading1"/>
    <w:link w:val="QuoteChar"/>
    <w:qFormat/>
    <w:rsid w:val="000F76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6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6AA"/>
    <w:pPr>
      <w:pageBreakBefore/>
    </w:pPr>
  </w:style>
  <w:style w:type="paragraph" w:customStyle="1" w:styleId="Border">
    <w:name w:val="Border"/>
    <w:basedOn w:val="Normal"/>
    <w:qFormat/>
    <w:rsid w:val="000F76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6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6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6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6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6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6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6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6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6AA"/>
    <w:rPr>
      <w:u w:val="single"/>
    </w:rPr>
  </w:style>
  <w:style w:type="character" w:customStyle="1" w:styleId="BoldandItalics">
    <w:name w:val="Bold and Italics"/>
    <w:qFormat/>
    <w:rsid w:val="000F76AA"/>
    <w:rPr>
      <w:b/>
      <w:i/>
      <w:u w:val="none"/>
    </w:rPr>
  </w:style>
  <w:style w:type="paragraph" w:styleId="BalloonText">
    <w:name w:val="Balloon Text"/>
    <w:basedOn w:val="Normal"/>
    <w:link w:val="BalloonTextChar"/>
    <w:rsid w:val="000F76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6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6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6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6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6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6AA"/>
    <w:pPr>
      <w:spacing w:before="0" w:after="0"/>
    </w:pPr>
  </w:style>
  <w:style w:type="paragraph" w:customStyle="1" w:styleId="BodyTextBold">
    <w:name w:val="Body Text Bold"/>
    <w:basedOn w:val="BodyText"/>
    <w:qFormat/>
    <w:rsid w:val="000F76AA"/>
    <w:rPr>
      <w:b/>
    </w:rPr>
  </w:style>
  <w:style w:type="character" w:styleId="Hyperlink">
    <w:name w:val="Hyperlink"/>
    <w:basedOn w:val="DefaultParagraphFont"/>
    <w:uiPriority w:val="99"/>
    <w:unhideWhenUsed/>
    <w:rsid w:val="006007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4240</Characters>
  <Application>Microsoft Office Word</Application>
  <DocSecurity>0</DocSecurity>
  <Lines>114</Lines>
  <Paragraphs>91</Paragraphs>
  <ScaleCrop>false</ScaleCrop>
  <Company>Author-it Software Corporation Ltd.</Company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UEEEL0035 Design effective and efficient lighting for public, open and sports areas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2024-11-29T00:56:00Z</dcterms:created>
  <dcterms:modified xsi:type="dcterms:W3CDTF">2024-11-29T00:56:00Z</dcterms:modified>
</cp:coreProperties>
</file>