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59AB" w:rsidP="00BA59AB">
      <w:pPr>
        <w:pStyle w:val="Title"/>
      </w:pPr>
      <w:r>
        <w:fldChar w:fldCharType="begin"/>
      </w:r>
      <w:r>
        <w:instrText xml:space="preserve"> TITLE   \* MERGEFORMAT </w:instrText>
      </w:r>
      <w:r>
        <w:fldChar w:fldCharType="separate"/>
      </w:r>
      <w:r>
        <w:t>Assessment Requirements for UEEEL0029 Conduct compliance inspection of LV electrical installations with demand exceeding 100 A per phase</w:t>
      </w:r>
      <w:r>
        <w:fldChar w:fldCharType="end"/>
      </w:r>
    </w:p>
    <w:p w:rsidR="00BA59AB" w:rsidP="00BA59AB">
      <w:pPr>
        <w:pStyle w:val="Version"/>
        <w:sectPr w:rsidSect="00AC39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C3995" w:rsidP="00AC3995">
      <w:pPr>
        <w:pStyle w:val="SuperHeading"/>
      </w:pPr>
      <w:r w:rsidRPr="00AC3995">
        <w:t>Assessment Requirements for UEEEL0029 Conduct compliance inspection of LV electrical installations with demand exceeding 100 A per phase</w:t>
      </w:r>
    </w:p>
    <w:p w:rsidR="00000000" w:rsidRPr="00AC3995" w:rsidP="00AC3995">
      <w:pPr>
        <w:pStyle w:val="Heading1"/>
      </w:pPr>
      <w:bookmarkStart w:id="1" w:name="O_1288853"/>
      <w:bookmarkEnd w:id="1"/>
      <w:r w:rsidRPr="00AC3995">
        <w:t>Modification History</w:t>
      </w:r>
    </w:p>
    <w:tbl>
      <w:tblPr>
        <w:tblW w:w="9497" w:type="dxa"/>
        <w:tblLayout w:type="fixed"/>
        <w:tblCellMar>
          <w:left w:w="62" w:type="dxa"/>
          <w:right w:w="62" w:type="dxa"/>
        </w:tblCellMar>
        <w:tblLook w:val="0000"/>
      </w:tblPr>
      <w:tblGrid>
        <w:gridCol w:w="9497"/>
      </w:tblGrid>
      <w:tr w:rsidTr="00AC39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C3995">
            <w:pPr>
              <w:pStyle w:val="BodyText"/>
              <w:rPr>
                <w:lang w:val="en-NZ"/>
              </w:rPr>
            </w:pPr>
            <w:r w:rsidRPr="00AC3995">
              <w:t>Release 2. Minor Change. Typographic error in prerequisites corrected.</w:t>
            </w:r>
          </w:p>
        </w:tc>
      </w:tr>
      <w:tr w:rsidTr="00AC39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3995" w:rsidP="00AC3995">
            <w:pPr>
              <w:pStyle w:val="BodyText"/>
            </w:pPr>
            <w:r w:rsidRPr="00AC3995">
              <w:t>Release 1. This is the first release of this unit of competency in the UEE Electrotechnology Training Package.</w:t>
            </w:r>
          </w:p>
        </w:tc>
      </w:tr>
    </w:tbl>
    <w:p w:rsidR="00000000" w:rsidRPr="00AC3995" w:rsidP="00AC3995">
      <w:pPr>
        <w:pStyle w:val="NoPaddingFontSize1"/>
      </w:pPr>
    </w:p>
    <w:p w:rsidR="00000000" w:rsidRPr="00AC3995" w:rsidP="00AC3995">
      <w:pPr>
        <w:pStyle w:val="AllowPageBreak"/>
      </w:pPr>
    </w:p>
    <w:p w:rsidR="00000000" w:rsidRPr="00AC3995" w:rsidP="00AC3995">
      <w:pPr>
        <w:pStyle w:val="Heading1"/>
      </w:pPr>
      <w:bookmarkStart w:id="2" w:name="O_1288852"/>
      <w:bookmarkEnd w:id="2"/>
      <w:r w:rsidRPr="00AC3995">
        <w:t>Performance Evidence</w:t>
      </w:r>
    </w:p>
    <w:tbl>
      <w:tblPr>
        <w:tblW w:w="9497" w:type="dxa"/>
        <w:tblLayout w:type="fixed"/>
        <w:tblCellMar>
          <w:left w:w="62" w:type="dxa"/>
          <w:right w:w="62" w:type="dxa"/>
        </w:tblCellMar>
        <w:tblLook w:val="0000"/>
      </w:tblPr>
      <w:tblGrid>
        <w:gridCol w:w="9497"/>
      </w:tblGrid>
      <w:tr w:rsidTr="00AC39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C3995">
            <w:pPr>
              <w:pStyle w:val="BodyText"/>
              <w:rPr>
                <w:lang w:val="en-NZ"/>
              </w:rPr>
            </w:pPr>
            <w:r w:rsidRPr="00AC3995">
              <w:t>Evidence required to demonstrate competence in this unit must be relevant to and satisfy all of the req</w:t>
            </w:r>
            <w:r w:rsidRPr="00AC3995">
              <w:t>uirements of the elements, performance criteria and range of conditions on at least one occasion and include:</w:t>
            </w:r>
          </w:p>
        </w:tc>
      </w:tr>
      <w:tr w:rsidTr="00AC39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3995" w:rsidP="00AC3995">
            <w:pPr>
              <w:pStyle w:val="ListBullet"/>
            </w:pPr>
            <w:r w:rsidRPr="00AC3995">
              <w:t>obtaining appropriate documentation and equipment in preparation for the inspection</w:t>
            </w:r>
          </w:p>
          <w:p w:rsidR="00000000" w:rsidRPr="00AC3995" w:rsidP="00AC3995">
            <w:pPr>
              <w:pStyle w:val="ListBullet"/>
            </w:pPr>
            <w:r w:rsidRPr="00AC3995">
              <w:t>conducting detailed inspections and testing methodically</w:t>
            </w:r>
          </w:p>
          <w:p w:rsidR="00000000" w:rsidRPr="00AC3995" w:rsidP="00AC3995">
            <w:pPr>
              <w:pStyle w:val="ListBullet"/>
            </w:pPr>
            <w:r w:rsidRPr="00AC3995">
              <w:t>ide</w:t>
            </w:r>
            <w:r w:rsidRPr="00AC3995">
              <w:t>ntifying non-compliance defects</w:t>
            </w:r>
          </w:p>
          <w:p w:rsidR="00000000" w:rsidRPr="00AC3995" w:rsidP="00AC3995">
            <w:pPr>
              <w:pStyle w:val="ListBullet"/>
            </w:pPr>
            <w:r w:rsidRPr="00AC3995">
              <w:t>relating non-compliance defects with appropriate clause in regulatory standards</w:t>
            </w:r>
          </w:p>
          <w:p w:rsidR="00000000" w:rsidRPr="00AC3995" w:rsidP="00AC3995">
            <w:pPr>
              <w:pStyle w:val="ListBullet"/>
            </w:pPr>
            <w:r w:rsidRPr="00AC3995">
              <w:t>acting within the inspection authority when dealing with non-compliance defects</w:t>
            </w:r>
          </w:p>
          <w:p w:rsidR="00000000" w:rsidRPr="00AC3995" w:rsidP="00AC3995">
            <w:pPr>
              <w:pStyle w:val="ListBullet"/>
            </w:pPr>
            <w:r w:rsidRPr="00AC3995">
              <w:t>documenting and reporting inspection findings</w:t>
            </w:r>
          </w:p>
          <w:p w:rsidR="00000000" w:rsidRPr="00AC3995" w:rsidP="00AC3995">
            <w:pPr>
              <w:pStyle w:val="ListBullet"/>
            </w:pPr>
            <w:r w:rsidRPr="00AC3995">
              <w:t>dealing with unplanned events</w:t>
            </w:r>
          </w:p>
          <w:p w:rsidR="00000000" w:rsidRPr="00AC3995" w:rsidP="00AC3995">
            <w:pPr>
              <w:pStyle w:val="ListBullet"/>
            </w:pPr>
            <w:r w:rsidRPr="00AC3995">
              <w:t>applying scope of inspection responsibilities</w:t>
            </w:r>
          </w:p>
          <w:p w:rsidR="00000000" w:rsidRPr="00AC3995" w:rsidP="00AC3995">
            <w:pPr>
              <w:pStyle w:val="ListBullet"/>
            </w:pPr>
            <w:r w:rsidRPr="00AC3995">
              <w:t>completing inspection</w:t>
            </w:r>
          </w:p>
          <w:p w:rsidR="00000000" w:rsidRPr="00AC3995" w:rsidP="00AC3995">
            <w:pPr>
              <w:pStyle w:val="ListBullet"/>
            </w:pPr>
            <w:r w:rsidRPr="00AC3995">
              <w:t>applying relevant industry standards</w:t>
            </w:r>
          </w:p>
          <w:p w:rsidR="00000000" w:rsidRPr="00AC3995" w:rsidP="00AC3995">
            <w:pPr>
              <w:pStyle w:val="ListBullet"/>
            </w:pPr>
            <w:r w:rsidRPr="00AC3995">
              <w:t>applying relevant work health and safety (WHS)/occupational health and safety (OHS) requirements, including using risk co</w:t>
            </w:r>
            <w:r w:rsidRPr="00AC3995">
              <w:t>ntrol measures</w:t>
            </w:r>
          </w:p>
          <w:p w:rsidR="00000000" w:rsidRPr="00AC3995" w:rsidP="00AC3995">
            <w:pPr>
              <w:pStyle w:val="ListBullet"/>
            </w:pPr>
            <w:r w:rsidRPr="00AC3995">
              <w:t>following workplace procedures</w:t>
            </w:r>
          </w:p>
          <w:p w:rsidR="00000000" w:rsidRPr="00AC3995" w:rsidP="00AC3995">
            <w:pPr>
              <w:pStyle w:val="ListBullet"/>
            </w:pPr>
            <w:r w:rsidRPr="00AC3995">
              <w:t>preparing and conducting compliance inspection, including:</w:t>
            </w:r>
          </w:p>
          <w:p w:rsidR="00000000" w:rsidRPr="00AC3995" w:rsidP="00AC3995">
            <w:pPr>
              <w:pStyle w:val="ListBullet2"/>
            </w:pPr>
            <w:r w:rsidRPr="00AC3995">
              <w:t>inspecting mains, circuits and electrical equipment</w:t>
            </w:r>
          </w:p>
          <w:p w:rsidR="00000000" w:rsidRPr="00AC3995" w:rsidP="00AC3995">
            <w:pPr>
              <w:pStyle w:val="ListBullet"/>
            </w:pPr>
            <w:r w:rsidRPr="00AC3995">
              <w:t>obtaining and using tools, equipment and testing devices</w:t>
            </w:r>
          </w:p>
          <w:p w:rsidR="00000000" w:rsidRPr="00AC3995" w:rsidP="00AC3995">
            <w:pPr>
              <w:pStyle w:val="ListBullet"/>
            </w:pPr>
            <w:r w:rsidRPr="00AC3995">
              <w:t>performing calculations.</w:t>
            </w:r>
          </w:p>
        </w:tc>
      </w:tr>
    </w:tbl>
    <w:p w:rsidR="00000000" w:rsidRPr="00AC3995" w:rsidP="00AC3995">
      <w:pPr>
        <w:pStyle w:val="NoPaddingFontSize1"/>
      </w:pPr>
    </w:p>
    <w:p w:rsidR="00000000" w:rsidRPr="00AC3995" w:rsidP="00AC3995">
      <w:pPr>
        <w:pStyle w:val="AllowPageBreak"/>
      </w:pPr>
    </w:p>
    <w:p w:rsidR="00000000" w:rsidRPr="00AC3995" w:rsidP="00AC3995">
      <w:pPr>
        <w:pStyle w:val="Heading1"/>
      </w:pPr>
      <w:bookmarkStart w:id="3" w:name="O_1288851"/>
      <w:bookmarkEnd w:id="3"/>
      <w:r w:rsidRPr="00AC3995">
        <w:t>Knowledge Evidence</w:t>
      </w:r>
    </w:p>
    <w:tbl>
      <w:tblPr>
        <w:tblW w:w="9497" w:type="dxa"/>
        <w:tblLayout w:type="fixed"/>
        <w:tblCellMar>
          <w:left w:w="62" w:type="dxa"/>
          <w:right w:w="62" w:type="dxa"/>
        </w:tblCellMar>
        <w:tblLook w:val="0000"/>
      </w:tblPr>
      <w:tblGrid>
        <w:gridCol w:w="9497"/>
      </w:tblGrid>
      <w:tr w:rsidTr="00AC39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C3995">
            <w:pPr>
              <w:pStyle w:val="BodyText"/>
              <w:rPr>
                <w:lang w:val="en-NZ"/>
              </w:rPr>
            </w:pPr>
            <w:r w:rsidRPr="00AC3995">
              <w:t>Evidence required to demonstrate competence in this unit must be relevant to and satisfy all of the requirements of the elements, performance criteria and range of conditions and include knowledge of:</w:t>
            </w:r>
          </w:p>
        </w:tc>
      </w:tr>
      <w:tr w:rsidTr="00AC39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3995" w:rsidP="00AC3995">
            <w:pPr>
              <w:pStyle w:val="ListBullet"/>
            </w:pPr>
            <w:r w:rsidRPr="00AC3995">
              <w:t>electrical installations,</w:t>
            </w:r>
            <w:r w:rsidRPr="00AC3995">
              <w:t xml:space="preserve"> inspections and safety compliance audits and tests of installations with demand of over 100 amperes (A) per phase, including: </w:t>
            </w:r>
          </w:p>
          <w:p w:rsidR="00000000" w:rsidRPr="00AC3995" w:rsidP="00AC3995">
            <w:pPr>
              <w:pStyle w:val="ListBullet2"/>
            </w:pPr>
            <w:r w:rsidRPr="00AC3995">
              <w:t>electrical installations, inspections and safety compliance audits encompassing:</w:t>
            </w:r>
          </w:p>
          <w:p w:rsidR="00000000" w:rsidRPr="00AC3995" w:rsidP="00AC3995">
            <w:pPr>
              <w:pStyle w:val="ListBullet3"/>
            </w:pPr>
            <w:r w:rsidRPr="00AC3995">
              <w:t>inspection types and their scope</w:t>
            </w:r>
          </w:p>
          <w:p w:rsidR="00000000" w:rsidRPr="00AC3995" w:rsidP="00AC3995">
            <w:pPr>
              <w:pStyle w:val="ListBullet3"/>
            </w:pPr>
            <w:r w:rsidRPr="00AC3995">
              <w:t>inspection of general electrical installations, special electrical installations, hazardous areas installations, safety audits and investigations</w:t>
            </w:r>
          </w:p>
          <w:p w:rsidR="00000000" w:rsidRPr="00AC3995" w:rsidP="00AC3995">
            <w:pPr>
              <w:pStyle w:val="ListBullet3"/>
            </w:pPr>
            <w:r w:rsidRPr="00AC3995">
              <w:t>inspection procedures</w:t>
            </w:r>
          </w:p>
          <w:p w:rsidR="00000000" w:rsidRPr="00AC3995" w:rsidP="00AC3995">
            <w:pPr>
              <w:pStyle w:val="ListBullet3"/>
            </w:pPr>
            <w:r w:rsidRPr="00AC3995">
              <w:t>processes for confirming that performance standards have been met</w:t>
            </w:r>
          </w:p>
          <w:p w:rsidR="00000000" w:rsidRPr="00AC3995" w:rsidP="00AC3995">
            <w:pPr>
              <w:pStyle w:val="ListBullet3"/>
            </w:pPr>
            <w:r w:rsidRPr="00AC3995">
              <w:t>actions and procedures</w:t>
            </w:r>
            <w:r w:rsidRPr="00AC3995">
              <w:t xml:space="preserve"> for dealing with non-compliance defect</w:t>
            </w:r>
          </w:p>
          <w:p w:rsidR="00000000" w:rsidRPr="00AC3995" w:rsidP="00AC3995">
            <w:pPr>
              <w:pStyle w:val="ListBullet"/>
            </w:pPr>
            <w:r w:rsidRPr="00AC3995">
              <w:t>problem-solving techniques</w:t>
            </w:r>
          </w:p>
          <w:p w:rsidR="00000000" w:rsidRPr="00AC3995" w:rsidP="00AC3995">
            <w:pPr>
              <w:pStyle w:val="ListBullet"/>
            </w:pPr>
            <w:r w:rsidRPr="00AC3995">
              <w:t>processes for inspection of single supply arrangements, main switchboard and earthing</w:t>
            </w:r>
          </w:p>
          <w:p w:rsidR="00000000" w:rsidRPr="00AC3995" w:rsidP="00AC3995">
            <w:pPr>
              <w:pStyle w:val="ListBullet"/>
            </w:pPr>
            <w:r w:rsidRPr="00AC3995">
              <w:t>relevant industry standards</w:t>
            </w:r>
          </w:p>
          <w:p w:rsidR="00000000" w:rsidRPr="00AC3995" w:rsidP="00AC3995">
            <w:pPr>
              <w:pStyle w:val="ListBullet"/>
            </w:pPr>
            <w:r w:rsidRPr="00AC3995">
              <w:t>relevant job safety assessments or risk mitigation processes</w:t>
            </w:r>
          </w:p>
          <w:p w:rsidR="00000000" w:rsidRPr="00AC3995" w:rsidP="00AC3995">
            <w:pPr>
              <w:pStyle w:val="ListBullet"/>
            </w:pPr>
            <w:r w:rsidRPr="00AC3995">
              <w:t>relevant manufacturer specifications</w:t>
            </w:r>
          </w:p>
          <w:p w:rsidR="00000000" w:rsidRPr="00AC3995" w:rsidP="00AC3995">
            <w:pPr>
              <w:pStyle w:val="ListBullet"/>
            </w:pPr>
            <w:r w:rsidRPr="00AC3995">
              <w:t>relevant tools, equipment and testing devices</w:t>
            </w:r>
          </w:p>
          <w:p w:rsidR="00000000" w:rsidRPr="00AC3995" w:rsidP="00AC3995">
            <w:pPr>
              <w:pStyle w:val="ListBullet"/>
            </w:pPr>
            <w:r w:rsidRPr="00AC3995">
              <w:t>relevant WHS/OHS legislated requirements</w:t>
            </w:r>
          </w:p>
          <w:p w:rsidR="00000000" w:rsidRPr="00AC3995" w:rsidP="00AC3995">
            <w:pPr>
              <w:pStyle w:val="ListBullet"/>
            </w:pPr>
            <w:r w:rsidRPr="00AC3995">
              <w:t>relevant workplace documentation</w:t>
            </w:r>
          </w:p>
          <w:p w:rsidR="00000000" w:rsidRPr="00AC3995" w:rsidP="00AC3995">
            <w:pPr>
              <w:pStyle w:val="ListBullet"/>
            </w:pPr>
            <w:r w:rsidRPr="00AC3995">
              <w:t>relevant workplace policies and procedures.</w:t>
            </w:r>
          </w:p>
        </w:tc>
      </w:tr>
    </w:tbl>
    <w:p w:rsidR="00000000" w:rsidRPr="00AC3995" w:rsidP="00AC3995">
      <w:pPr>
        <w:pStyle w:val="NoPaddingFontSize1"/>
      </w:pPr>
    </w:p>
    <w:p w:rsidR="00000000" w:rsidRPr="00AC3995" w:rsidP="00AC3995">
      <w:pPr>
        <w:pStyle w:val="AllowPageBreak"/>
      </w:pPr>
    </w:p>
    <w:p w:rsidR="00000000" w:rsidRPr="00AC3995" w:rsidP="00AC3995">
      <w:pPr>
        <w:pStyle w:val="Heading1"/>
      </w:pPr>
      <w:bookmarkStart w:id="4" w:name="O_1288850"/>
      <w:bookmarkEnd w:id="4"/>
      <w:r w:rsidRPr="00AC3995">
        <w:t>Assessment Conditions</w:t>
      </w:r>
    </w:p>
    <w:tbl>
      <w:tblPr>
        <w:tblW w:w="9497" w:type="dxa"/>
        <w:tblLayout w:type="fixed"/>
        <w:tblCellMar>
          <w:left w:w="62" w:type="dxa"/>
          <w:right w:w="62" w:type="dxa"/>
        </w:tblCellMar>
        <w:tblLook w:val="0000"/>
      </w:tblPr>
      <w:tblGrid>
        <w:gridCol w:w="9497"/>
      </w:tblGrid>
      <w:tr w:rsidTr="00AC39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3995" w:rsidP="00AC3995">
            <w:pPr>
              <w:pStyle w:val="BodyText"/>
            </w:pPr>
            <w:r w:rsidRPr="00AC3995">
              <w:t>Assessors mu</w:t>
            </w:r>
            <w:r w:rsidRPr="00AC3995">
              <w:t>st hold credentials specified within the Standards for Registered Training Organisations current at the time of assessment.</w:t>
            </w:r>
          </w:p>
          <w:p w:rsidR="00000000" w:rsidRPr="00AC3995" w:rsidP="00AC3995">
            <w:pPr>
              <w:pStyle w:val="BodyText"/>
            </w:pPr>
            <w:r w:rsidRPr="00AC3995">
              <w:t>Assessment must satisfy the Principles of Assessment and Rules of Evidence and all regulatory requirements included within the Stand</w:t>
            </w:r>
            <w:r w:rsidRPr="00AC3995">
              <w:t>ards for Registered Training Organisations current at the time of assessment.</w:t>
            </w:r>
          </w:p>
          <w:p w:rsidR="00000000" w:rsidRPr="00AC3995" w:rsidP="00AC3995">
            <w:pPr>
              <w:pStyle w:val="BodyText"/>
            </w:pPr>
            <w:r w:rsidRPr="00AC3995">
              <w:t>Assessment must occur in suitable workplace operational situations where it is appropriate to do so; where this is not appropriate, assessment must occur in simulated suitable wo</w:t>
            </w:r>
            <w:r w:rsidRPr="00AC3995">
              <w:t>rkplace operational situations that replicate workplace conditions.</w:t>
            </w:r>
          </w:p>
          <w:p w:rsidR="00000000" w:rsidRPr="00AC3995" w:rsidP="00AC3995">
            <w:pPr>
              <w:pStyle w:val="BodyText"/>
            </w:pPr>
            <w:r w:rsidRPr="00AC3995">
              <w:t>Assessment processes and techniques must be appropriate to the language, literacy and numeracy requirements of the work being performed and the needs of the candidate.</w:t>
            </w:r>
          </w:p>
          <w:p w:rsidR="00000000" w:rsidRPr="00AC3995" w:rsidP="00AC3995">
            <w:pPr>
              <w:pStyle w:val="BodyText"/>
            </w:pPr>
            <w:r w:rsidRPr="00AC3995">
              <w:t>Resources for assessment must include access to:</w:t>
            </w:r>
          </w:p>
          <w:p w:rsidR="00000000" w:rsidRPr="00AC3995" w:rsidP="00AC3995">
            <w:pPr>
              <w:pStyle w:val="ListBullet"/>
            </w:pPr>
            <w:r w:rsidRPr="00AC3995">
              <w:t>a range of relevant exercises, case studies and/or simulations</w:t>
            </w:r>
          </w:p>
          <w:p w:rsidR="00000000" w:rsidRPr="00AC3995" w:rsidP="00AC3995">
            <w:pPr>
              <w:pStyle w:val="ListBullet"/>
            </w:pPr>
            <w:r w:rsidRPr="00AC3995">
              <w:t>relevant and appropriate materials, tools, facilities, equipment and personal protective equipment (PPE) currently used in industry</w:t>
            </w:r>
          </w:p>
          <w:p w:rsidR="00000000" w:rsidRPr="00AC3995" w:rsidP="00AC3995">
            <w:pPr>
              <w:pStyle w:val="ListBullet"/>
            </w:pPr>
            <w:r w:rsidRPr="00AC3995">
              <w:t xml:space="preserve">applicable </w:t>
            </w:r>
            <w:r w:rsidRPr="00AC3995">
              <w:t>documentation, including workplace procedures, equipment specifications, regulations, relevant industry standards, codes of practice and operation manuals.</w:t>
            </w:r>
          </w:p>
        </w:tc>
      </w:tr>
    </w:tbl>
    <w:p w:rsidR="00000000" w:rsidRPr="00AC3995" w:rsidP="00AC3995">
      <w:pPr>
        <w:pStyle w:val="NoPaddingFontSize1"/>
      </w:pPr>
    </w:p>
    <w:p w:rsidR="00000000" w:rsidRPr="00AC3995" w:rsidP="00AC3995">
      <w:pPr>
        <w:pStyle w:val="AllowPageBreak"/>
      </w:pPr>
    </w:p>
    <w:p w:rsidR="00000000" w:rsidRPr="00AC3995" w:rsidP="00AC3995">
      <w:pPr>
        <w:pStyle w:val="Heading1"/>
      </w:pPr>
      <w:bookmarkStart w:id="5" w:name="O_1288865"/>
      <w:bookmarkEnd w:id="5"/>
      <w:r w:rsidRPr="00AC3995">
        <w:t>Links</w:t>
      </w:r>
    </w:p>
    <w:p w:rsidR="00000000" w:rsidRPr="00AC3995" w:rsidP="00BA59AB">
      <w:pPr>
        <w:pStyle w:val="BodyText"/>
      </w:pPr>
      <w:r w:rsidRPr="00AC3995">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674721">
        <w:rPr>
          <w:rStyle w:val="Hyperlink"/>
        </w:rPr>
        <w:t>https://vetnet.gov.au/Pages/TrainingDocs.aspx?q=b8a8f136-5421-4ce1-92e0-2b50341431b6</w:t>
      </w:r>
      <w:r>
        <w:fldChar w:fldCharType="end"/>
      </w:r>
    </w:p>
    <w:p w:rsidR="00000000" w:rsidRPr="00AC3995" w:rsidP="00AC3995"/>
    <w:sectPr w:rsidSect="00AC399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9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995" w:rsidRPr="00BA59AB" w:rsidP="00BA59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9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9AB" w:rsidP="00AC39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A59AB" w:rsidP="00AC399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BA59AB" w:rsidP="00AC39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9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9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3995" w:rsidRPr="00BA59AB" w:rsidP="00BA59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9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9AB" w:rsidRPr="002D2AF8" w:rsidP="00AC3995">
    <w:pPr>
      <w:pStyle w:val="Header"/>
      <w:framePr w:wrap="around"/>
    </w:pPr>
    <w:r>
      <w:fldChar w:fldCharType="begin"/>
    </w:r>
    <w:r>
      <w:instrText xml:space="preserve"> TITLE   \* MERGEFORMAT </w:instrText>
    </w:r>
    <w:r>
      <w:fldChar w:fldCharType="separate"/>
    </w:r>
    <w:r>
      <w:t>Assessment Requirements for UEEEL0029 Conduct compliance inspection of LV electrical installations with demand exceeding 100 A per phase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December 2024</w:t>
    </w:r>
    <w:r>
      <w:fldChar w:fldCharType="end"/>
    </w:r>
  </w:p>
  <w:p w:rsidR="00BA59AB" w:rsidP="00AC39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7067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B064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E424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39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3995"/>
    <w:pPr>
      <w:spacing w:before="360" w:after="60"/>
      <w:outlineLvl w:val="0"/>
    </w:pPr>
    <w:rPr>
      <w:sz w:val="32"/>
    </w:rPr>
  </w:style>
  <w:style w:type="paragraph" w:styleId="Heading2">
    <w:name w:val="heading 2"/>
    <w:basedOn w:val="HeadingBase"/>
    <w:next w:val="BodyText"/>
    <w:link w:val="Heading2Char"/>
    <w:qFormat/>
    <w:rsid w:val="00AC3995"/>
    <w:pPr>
      <w:keepLines/>
      <w:spacing w:before="240" w:after="120"/>
      <w:outlineLvl w:val="1"/>
    </w:pPr>
    <w:rPr>
      <w:sz w:val="28"/>
      <w:szCs w:val="40"/>
    </w:rPr>
  </w:style>
  <w:style w:type="paragraph" w:styleId="Heading3">
    <w:name w:val="heading 3"/>
    <w:basedOn w:val="HeadingBase"/>
    <w:next w:val="BodyText"/>
    <w:link w:val="Heading3Char"/>
    <w:qFormat/>
    <w:rsid w:val="00AC3995"/>
    <w:pPr>
      <w:spacing w:before="180" w:after="120"/>
      <w:outlineLvl w:val="2"/>
    </w:pPr>
    <w:rPr>
      <w:spacing w:val="-10"/>
      <w:kern w:val="32"/>
    </w:rPr>
  </w:style>
  <w:style w:type="paragraph" w:styleId="Heading4">
    <w:name w:val="heading 4"/>
    <w:basedOn w:val="HeadingBase"/>
    <w:next w:val="BodyText"/>
    <w:link w:val="Heading4Char"/>
    <w:qFormat/>
    <w:rsid w:val="00AC3995"/>
    <w:pPr>
      <w:spacing w:before="160" w:after="120"/>
      <w:outlineLvl w:val="3"/>
    </w:pPr>
    <w:rPr>
      <w:sz w:val="22"/>
    </w:rPr>
  </w:style>
  <w:style w:type="paragraph" w:styleId="Heading5">
    <w:name w:val="heading 5"/>
    <w:basedOn w:val="HeadingBase"/>
    <w:next w:val="Normal"/>
    <w:link w:val="Heading5Char"/>
    <w:qFormat/>
    <w:rsid w:val="00AC3995"/>
    <w:pPr>
      <w:spacing w:before="80"/>
      <w:outlineLvl w:val="4"/>
    </w:pPr>
    <w:rPr>
      <w:color w:val="918585"/>
      <w:sz w:val="20"/>
    </w:rPr>
  </w:style>
  <w:style w:type="paragraph" w:styleId="Heading6">
    <w:name w:val="heading 6"/>
    <w:basedOn w:val="HeadingBase"/>
    <w:next w:val="Normal"/>
    <w:link w:val="Heading6Char"/>
    <w:qFormat/>
    <w:rsid w:val="00AC3995"/>
    <w:pPr>
      <w:spacing w:before="60"/>
      <w:outlineLvl w:val="5"/>
    </w:pPr>
    <w:rPr>
      <w:color w:val="918585"/>
      <w:sz w:val="20"/>
    </w:rPr>
  </w:style>
  <w:style w:type="paragraph" w:styleId="Heading7">
    <w:name w:val="heading 7"/>
    <w:basedOn w:val="Normal"/>
    <w:next w:val="Normal"/>
    <w:link w:val="Heading7Char"/>
    <w:qFormat/>
    <w:rsid w:val="00AC3995"/>
    <w:pPr>
      <w:ind w:left="720"/>
      <w:outlineLvl w:val="6"/>
    </w:pPr>
    <w:rPr>
      <w:i/>
    </w:rPr>
  </w:style>
  <w:style w:type="paragraph" w:styleId="Heading8">
    <w:name w:val="heading 8"/>
    <w:basedOn w:val="Normal"/>
    <w:next w:val="Normal"/>
    <w:link w:val="Heading8Char"/>
    <w:qFormat/>
    <w:rsid w:val="00AC3995"/>
    <w:pPr>
      <w:ind w:left="720"/>
      <w:outlineLvl w:val="7"/>
    </w:pPr>
    <w:rPr>
      <w:i/>
    </w:rPr>
  </w:style>
  <w:style w:type="paragraph" w:styleId="Heading9">
    <w:name w:val="heading 9"/>
    <w:basedOn w:val="Normal"/>
    <w:next w:val="Normal"/>
    <w:link w:val="Heading9Char"/>
    <w:qFormat/>
    <w:rsid w:val="00AC3995"/>
    <w:pPr>
      <w:ind w:left="720"/>
      <w:outlineLvl w:val="8"/>
    </w:pPr>
    <w:rPr>
      <w:i/>
    </w:rPr>
  </w:style>
  <w:style w:type="character" w:default="1" w:styleId="DefaultParagraphFont">
    <w:name w:val="Default Paragraph Font"/>
    <w:uiPriority w:val="1"/>
    <w:unhideWhenUsed/>
    <w:rsid w:val="00AC39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3995"/>
  </w:style>
  <w:style w:type="character" w:customStyle="1" w:styleId="Heading1Char">
    <w:name w:val="Heading 1 Char"/>
    <w:basedOn w:val="DefaultParagraphFont"/>
    <w:link w:val="Heading1"/>
    <w:rsid w:val="00AC3995"/>
    <w:rPr>
      <w:rFonts w:ascii="Times New Roman" w:eastAsia="Times New Roman" w:hAnsi="Times New Roman" w:cs="Times New Roman"/>
      <w:b/>
      <w:sz w:val="32"/>
      <w:szCs w:val="20"/>
      <w:lang w:eastAsia="en-US"/>
    </w:rPr>
  </w:style>
  <w:style w:type="paragraph" w:styleId="BodyText">
    <w:name w:val="Body Text"/>
    <w:basedOn w:val="Normal"/>
    <w:link w:val="BodyTextChar"/>
    <w:rsid w:val="00AC39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3995"/>
    <w:rPr>
      <w:rFonts w:ascii="Times New Roman" w:eastAsia="Times New Roman" w:hAnsi="Times New Roman" w:cs="Times New Roman"/>
      <w:sz w:val="24"/>
      <w:lang w:eastAsia="en-US"/>
    </w:rPr>
  </w:style>
  <w:style w:type="paragraph" w:styleId="ListBullet">
    <w:name w:val="List Bullet"/>
    <w:basedOn w:val="List"/>
    <w:rsid w:val="00AC3995"/>
    <w:pPr>
      <w:numPr>
        <w:numId w:val="13"/>
      </w:numPr>
      <w:tabs>
        <w:tab w:val="clear" w:pos="340"/>
      </w:tabs>
      <w:spacing w:before="40" w:after="40"/>
    </w:pPr>
  </w:style>
  <w:style w:type="paragraph" w:styleId="ListBullet2">
    <w:name w:val="List Bullet 2"/>
    <w:basedOn w:val="List2"/>
    <w:rsid w:val="00AC3995"/>
    <w:pPr>
      <w:numPr>
        <w:numId w:val="14"/>
      </w:numPr>
      <w:tabs>
        <w:tab w:val="clear" w:pos="680"/>
      </w:tabs>
    </w:pPr>
  </w:style>
  <w:style w:type="paragraph" w:customStyle="1" w:styleId="SuperHeading">
    <w:name w:val="SuperHeading"/>
    <w:basedOn w:val="Normal"/>
    <w:rsid w:val="00AC3995"/>
    <w:pPr>
      <w:spacing w:before="240" w:after="120"/>
      <w:outlineLvl w:val="0"/>
    </w:pPr>
    <w:rPr>
      <w:rFonts w:ascii="Times New Roman" w:hAnsi="Times New Roman"/>
      <w:b/>
      <w:sz w:val="32"/>
    </w:rPr>
  </w:style>
  <w:style w:type="paragraph" w:customStyle="1" w:styleId="AllowPageBreak">
    <w:name w:val="AllowPageBreak"/>
    <w:rsid w:val="00AC399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C3995"/>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C39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39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39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39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39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39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39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3995"/>
    <w:rPr>
      <w:rFonts w:ascii="Courier New" w:eastAsia="Times New Roman" w:hAnsi="Courier New" w:cs="Times New Roman"/>
      <w:i/>
      <w:szCs w:val="20"/>
      <w:lang w:eastAsia="en-US"/>
    </w:rPr>
  </w:style>
  <w:style w:type="paragraph" w:customStyle="1" w:styleId="HeadingBase">
    <w:name w:val="Heading Base"/>
    <w:rsid w:val="00AC39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3995"/>
    <w:pPr>
      <w:tabs>
        <w:tab w:val="right" w:leader="dot" w:pos="9072"/>
      </w:tabs>
      <w:ind w:left="567"/>
    </w:pPr>
    <w:rPr>
      <w:szCs w:val="22"/>
    </w:rPr>
  </w:style>
  <w:style w:type="paragraph" w:customStyle="1" w:styleId="TOCBase">
    <w:name w:val="TOC Base"/>
    <w:rsid w:val="00AC39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3995"/>
    <w:pPr>
      <w:tabs>
        <w:tab w:val="right" w:leader="dot" w:pos="9072"/>
      </w:tabs>
      <w:spacing w:before="40" w:after="40"/>
      <w:ind w:left="284"/>
    </w:pPr>
    <w:rPr>
      <w:rFonts w:ascii="Times New Roman" w:hAnsi="Times New Roman"/>
    </w:rPr>
  </w:style>
  <w:style w:type="paragraph" w:styleId="TOC1">
    <w:name w:val="toc 1"/>
    <w:basedOn w:val="TOCBase"/>
    <w:next w:val="Normal"/>
    <w:rsid w:val="00AC39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39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3995"/>
    <w:rPr>
      <w:rFonts w:ascii="Times New Roman" w:eastAsia="Times New Roman" w:hAnsi="Times New Roman" w:cs="Times New Roman"/>
      <w:sz w:val="16"/>
      <w:lang w:eastAsia="en-US"/>
    </w:rPr>
  </w:style>
  <w:style w:type="paragraph" w:styleId="Title">
    <w:name w:val="Title"/>
    <w:basedOn w:val="HeadingBase"/>
    <w:link w:val="TitleChar"/>
    <w:qFormat/>
    <w:rsid w:val="00AC3995"/>
    <w:pPr>
      <w:spacing w:before="5040"/>
      <w:jc w:val="center"/>
    </w:pPr>
    <w:rPr>
      <w:sz w:val="48"/>
      <w:szCs w:val="72"/>
      <w:lang w:val="en-US"/>
    </w:rPr>
  </w:style>
  <w:style w:type="character" w:customStyle="1" w:styleId="TitleChar">
    <w:name w:val="Title Char"/>
    <w:basedOn w:val="DefaultParagraphFont"/>
    <w:link w:val="Title"/>
    <w:rsid w:val="00AC39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3995"/>
    <w:pPr>
      <w:tabs>
        <w:tab w:val="left" w:pos="3600"/>
        <w:tab w:val="left" w:pos="3958"/>
      </w:tabs>
    </w:pPr>
  </w:style>
  <w:style w:type="paragraph" w:styleId="List">
    <w:name w:val="List"/>
    <w:basedOn w:val="BodyText"/>
    <w:next w:val="BodyText"/>
    <w:rsid w:val="00AC3995"/>
    <w:pPr>
      <w:tabs>
        <w:tab w:val="left" w:pos="340"/>
      </w:tabs>
      <w:spacing w:before="60" w:after="60"/>
      <w:ind w:left="340" w:hanging="340"/>
    </w:pPr>
  </w:style>
  <w:style w:type="paragraph" w:customStyle="1" w:styleId="Note">
    <w:name w:val="Note"/>
    <w:basedOn w:val="BodyText"/>
    <w:rsid w:val="00AC399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C3995"/>
    <w:rPr>
      <w:b/>
      <w:spacing w:val="0"/>
    </w:rPr>
  </w:style>
  <w:style w:type="paragraph" w:customStyle="1" w:styleId="SuperTitle">
    <w:name w:val="SuperTitle"/>
    <w:basedOn w:val="Title"/>
    <w:rsid w:val="00AC3995"/>
    <w:pPr>
      <w:framePr w:wrap="auto" w:hAnchor="text" w:y="6049"/>
    </w:pPr>
    <w:rPr>
      <w:color w:val="000000"/>
      <w:sz w:val="40"/>
    </w:rPr>
  </w:style>
  <w:style w:type="paragraph" w:customStyle="1" w:styleId="TOCTitle">
    <w:name w:val="TOCTitle"/>
    <w:basedOn w:val="Heading1"/>
    <w:rsid w:val="00AC3995"/>
    <w:pPr>
      <w:spacing w:after="240"/>
      <w:jc w:val="center"/>
      <w:outlineLvl w:val="9"/>
    </w:pPr>
    <w:rPr>
      <w:caps/>
    </w:rPr>
  </w:style>
  <w:style w:type="paragraph" w:customStyle="1" w:styleId="Version">
    <w:name w:val="Version"/>
    <w:rsid w:val="00AC39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3995"/>
    <w:pPr>
      <w:keepNext w:val="0"/>
      <w:tabs>
        <w:tab w:val="right" w:pos="4176"/>
      </w:tabs>
      <w:ind w:left="198" w:hanging="198"/>
    </w:pPr>
    <w:rPr>
      <w:rFonts w:ascii="Garamond" w:hAnsi="Garamond"/>
    </w:rPr>
  </w:style>
  <w:style w:type="paragraph" w:styleId="IndexHeading">
    <w:name w:val="index heading"/>
    <w:basedOn w:val="Normal"/>
    <w:next w:val="Index1"/>
    <w:semiHidden/>
    <w:rsid w:val="00AC3995"/>
    <w:pPr>
      <w:spacing w:before="120" w:after="120"/>
    </w:pPr>
    <w:rPr>
      <w:rFonts w:ascii="Arial" w:hAnsi="Arial"/>
      <w:b/>
      <w:color w:val="918585"/>
      <w:sz w:val="24"/>
    </w:rPr>
  </w:style>
  <w:style w:type="paragraph" w:styleId="Header">
    <w:name w:val="header"/>
    <w:basedOn w:val="Normal"/>
    <w:link w:val="HeaderChar"/>
    <w:rsid w:val="00AC39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3995"/>
    <w:rPr>
      <w:rFonts w:ascii="Times New Roman" w:eastAsia="Times New Roman" w:hAnsi="Times New Roman" w:cs="Times New Roman"/>
      <w:sz w:val="16"/>
      <w:szCs w:val="20"/>
      <w:lang w:val="en-GB" w:eastAsia="en-US"/>
    </w:rPr>
  </w:style>
  <w:style w:type="paragraph" w:customStyle="1" w:styleId="Chapter">
    <w:name w:val="Chapter"/>
    <w:basedOn w:val="Normal"/>
    <w:rsid w:val="00AC3995"/>
    <w:pPr>
      <w:spacing w:before="240"/>
    </w:pPr>
    <w:rPr>
      <w:rFonts w:ascii="Times New Roman" w:hAnsi="Times New Roman"/>
      <w:smallCaps/>
      <w:spacing w:val="80"/>
      <w:sz w:val="28"/>
    </w:rPr>
  </w:style>
  <w:style w:type="paragraph" w:customStyle="1" w:styleId="InChapter">
    <w:name w:val="InChapter"/>
    <w:basedOn w:val="Heading3"/>
    <w:rsid w:val="00AC3995"/>
    <w:pPr>
      <w:spacing w:after="240"/>
      <w:outlineLvl w:val="9"/>
    </w:pPr>
    <w:rPr>
      <w:noProof/>
    </w:rPr>
  </w:style>
  <w:style w:type="paragraph" w:styleId="Index2">
    <w:name w:val="index 2"/>
    <w:basedOn w:val="Normal"/>
    <w:next w:val="Normal"/>
    <w:semiHidden/>
    <w:rsid w:val="00AC3995"/>
    <w:pPr>
      <w:tabs>
        <w:tab w:val="right" w:pos="4176"/>
      </w:tabs>
      <w:ind w:left="568" w:hanging="284"/>
    </w:pPr>
    <w:rPr>
      <w:rFonts w:ascii="Garamond" w:hAnsi="Garamond"/>
    </w:rPr>
  </w:style>
  <w:style w:type="paragraph" w:customStyle="1" w:styleId="Byline">
    <w:name w:val="Byline"/>
    <w:rsid w:val="00AC39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3995"/>
    <w:pPr>
      <w:tabs>
        <w:tab w:val="clear" w:pos="3600"/>
        <w:tab w:val="clear" w:pos="3958"/>
      </w:tabs>
      <w:jc w:val="right"/>
    </w:pPr>
  </w:style>
  <w:style w:type="character" w:styleId="Emphasis">
    <w:name w:val="Emphasis"/>
    <w:basedOn w:val="DefaultParagraphFont"/>
    <w:qFormat/>
    <w:rsid w:val="00AC3995"/>
    <w:rPr>
      <w:i/>
    </w:rPr>
  </w:style>
  <w:style w:type="paragraph" w:styleId="Caption">
    <w:name w:val="caption"/>
    <w:basedOn w:val="BodyText"/>
    <w:next w:val="Normal"/>
    <w:qFormat/>
    <w:rsid w:val="00AC3995"/>
    <w:pPr>
      <w:framePr w:w="2268" w:hSpace="181" w:vSpace="181" w:wrap="around" w:vAnchor="text" w:hAnchor="page" w:x="1135" w:y="285" w:anchorLock="1"/>
    </w:pPr>
    <w:rPr>
      <w:i/>
    </w:rPr>
  </w:style>
  <w:style w:type="paragraph" w:customStyle="1" w:styleId="MiniTOCTitle">
    <w:name w:val="MiniTOCTitle"/>
    <w:basedOn w:val="Heading4"/>
    <w:rsid w:val="00AC3995"/>
    <w:pPr>
      <w:spacing w:before="240"/>
      <w:outlineLvl w:val="9"/>
    </w:pPr>
    <w:rPr>
      <w:noProof/>
      <w:sz w:val="24"/>
    </w:rPr>
  </w:style>
  <w:style w:type="paragraph" w:customStyle="1" w:styleId="MiniTOCItem">
    <w:name w:val="MiniTOCItem"/>
    <w:basedOn w:val="ListBullet"/>
    <w:rsid w:val="00AC3995"/>
    <w:pPr>
      <w:numPr>
        <w:numId w:val="0"/>
      </w:numPr>
      <w:tabs>
        <w:tab w:val="right" w:leader="dot" w:pos="6521"/>
      </w:tabs>
      <w:spacing w:before="0" w:after="0"/>
    </w:pPr>
  </w:style>
  <w:style w:type="paragraph" w:customStyle="1" w:styleId="TOFTitle">
    <w:name w:val="TOFTitle"/>
    <w:basedOn w:val="TOCTitle"/>
    <w:rsid w:val="00AC3995"/>
  </w:style>
  <w:style w:type="paragraph" w:styleId="TableofFigures">
    <w:name w:val="table of figures"/>
    <w:basedOn w:val="Normal"/>
    <w:next w:val="Normal"/>
    <w:semiHidden/>
    <w:rsid w:val="00AC3995"/>
    <w:pPr>
      <w:tabs>
        <w:tab w:val="right" w:leader="dot" w:pos="9072"/>
      </w:tabs>
      <w:ind w:left="970" w:hanging="403"/>
    </w:pPr>
    <w:rPr>
      <w:rFonts w:ascii="Times New Roman" w:hAnsi="Times New Roman"/>
      <w:b/>
    </w:rPr>
  </w:style>
  <w:style w:type="paragraph" w:styleId="ListNumber">
    <w:name w:val="List Number"/>
    <w:basedOn w:val="List"/>
    <w:rsid w:val="00AC3995"/>
    <w:pPr>
      <w:numPr>
        <w:numId w:val="16"/>
      </w:numPr>
      <w:tabs>
        <w:tab w:val="clear" w:pos="340"/>
      </w:tabs>
    </w:pPr>
  </w:style>
  <w:style w:type="character" w:customStyle="1" w:styleId="WingdingSymbols">
    <w:name w:val="Wingding Symbols"/>
    <w:rsid w:val="00AC3995"/>
    <w:rPr>
      <w:rFonts w:ascii="Wingdings" w:hAnsi="Wingdings"/>
    </w:rPr>
  </w:style>
  <w:style w:type="paragraph" w:customStyle="1" w:styleId="TableHeading">
    <w:name w:val="Table Heading"/>
    <w:basedOn w:val="HeadingBase"/>
    <w:rsid w:val="00AC3995"/>
    <w:pPr>
      <w:keepLines/>
      <w:pBdr>
        <w:bottom w:val="single" w:sz="6" w:space="1" w:color="918585"/>
      </w:pBdr>
      <w:spacing w:before="240"/>
    </w:pPr>
  </w:style>
  <w:style w:type="character" w:customStyle="1" w:styleId="HotSpot">
    <w:name w:val="HotSpot"/>
    <w:rsid w:val="00AC3995"/>
    <w:rPr>
      <w:color w:val="0033CC"/>
      <w:u w:val="none"/>
    </w:rPr>
  </w:style>
  <w:style w:type="paragraph" w:customStyle="1" w:styleId="BodyTextRight">
    <w:name w:val="Body Text Right"/>
    <w:basedOn w:val="BodyText"/>
    <w:rsid w:val="00AC3995"/>
    <w:pPr>
      <w:spacing w:before="0" w:after="0"/>
      <w:jc w:val="right"/>
    </w:pPr>
  </w:style>
  <w:style w:type="paragraph" w:styleId="Index3">
    <w:name w:val="index 3"/>
    <w:basedOn w:val="ListNumber2"/>
    <w:next w:val="Normal"/>
    <w:semiHidden/>
    <w:rsid w:val="00AC3995"/>
    <w:pPr>
      <w:numPr>
        <w:numId w:val="0"/>
      </w:numPr>
      <w:tabs>
        <w:tab w:val="right" w:leader="dot" w:pos="4176"/>
      </w:tabs>
    </w:pPr>
  </w:style>
  <w:style w:type="paragraph" w:styleId="ListNumber2">
    <w:name w:val="List Number 2"/>
    <w:basedOn w:val="List2"/>
    <w:rsid w:val="00AC3995"/>
    <w:pPr>
      <w:numPr>
        <w:numId w:val="11"/>
      </w:numPr>
      <w:tabs>
        <w:tab w:val="clear" w:pos="1060"/>
      </w:tabs>
    </w:pPr>
  </w:style>
  <w:style w:type="paragraph" w:customStyle="1" w:styleId="MarginNote">
    <w:name w:val="Margin Note"/>
    <w:basedOn w:val="BodyText"/>
    <w:rsid w:val="00AC39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39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39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3995"/>
    <w:rPr>
      <w:sz w:val="32"/>
    </w:rPr>
  </w:style>
  <w:style w:type="paragraph" w:customStyle="1" w:styleId="HeadingProcedure">
    <w:name w:val="Heading Procedure"/>
    <w:basedOn w:val="HeadingBase"/>
    <w:next w:val="Normal"/>
    <w:rsid w:val="00AC3995"/>
    <w:pPr>
      <w:tabs>
        <w:tab w:val="left" w:pos="0"/>
      </w:tabs>
      <w:spacing w:before="120" w:after="60"/>
    </w:pPr>
    <w:rPr>
      <w:i/>
      <w:color w:val="918585"/>
      <w:sz w:val="22"/>
    </w:rPr>
  </w:style>
  <w:style w:type="paragraph" w:customStyle="1" w:styleId="TableBodyText">
    <w:name w:val="Table Body Text"/>
    <w:basedOn w:val="BodyText"/>
    <w:rsid w:val="00AC3995"/>
    <w:pPr>
      <w:spacing w:before="60" w:after="60"/>
    </w:pPr>
  </w:style>
  <w:style w:type="paragraph" w:styleId="ListContinue">
    <w:name w:val="List Continue"/>
    <w:basedOn w:val="List"/>
    <w:rsid w:val="00AC3995"/>
    <w:pPr>
      <w:ind w:firstLine="0"/>
    </w:pPr>
  </w:style>
  <w:style w:type="paragraph" w:customStyle="1" w:styleId="ListNote">
    <w:name w:val="List Note"/>
    <w:basedOn w:val="List"/>
    <w:rsid w:val="00AC3995"/>
    <w:pPr>
      <w:pBdr>
        <w:top w:val="single" w:sz="6" w:space="2" w:color="918585"/>
        <w:bottom w:val="single" w:sz="6" w:space="2" w:color="918585"/>
      </w:pBdr>
      <w:tabs>
        <w:tab w:val="left" w:pos="1021"/>
      </w:tabs>
      <w:ind w:firstLine="0"/>
    </w:pPr>
  </w:style>
  <w:style w:type="paragraph" w:customStyle="1" w:styleId="Warning">
    <w:name w:val="Warning"/>
    <w:basedOn w:val="BodyText"/>
    <w:rsid w:val="00AC3995"/>
    <w:pPr>
      <w:shd w:val="clear" w:color="auto" w:fill="D9D9D9"/>
      <w:tabs>
        <w:tab w:val="left" w:pos="992"/>
      </w:tabs>
      <w:ind w:left="119" w:right="119"/>
    </w:pPr>
    <w:rPr>
      <w:sz w:val="20"/>
    </w:rPr>
  </w:style>
  <w:style w:type="paragraph" w:customStyle="1" w:styleId="MarginIcons">
    <w:name w:val="Margin Icons"/>
    <w:basedOn w:val="BodyText"/>
    <w:rsid w:val="00AC39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3995"/>
    <w:rPr>
      <w:rFonts w:ascii="Courier New" w:hAnsi="Courier New"/>
    </w:rPr>
  </w:style>
  <w:style w:type="paragraph" w:customStyle="1" w:styleId="NoteBullet">
    <w:name w:val="Note Bullet"/>
    <w:basedOn w:val="Note"/>
    <w:rsid w:val="00AC3995"/>
    <w:pPr>
      <w:tabs>
        <w:tab w:val="clear" w:pos="680"/>
      </w:tabs>
      <w:spacing w:before="60" w:after="60"/>
    </w:pPr>
  </w:style>
  <w:style w:type="paragraph" w:customStyle="1" w:styleId="SubHeading2">
    <w:name w:val="SubHeading2"/>
    <w:basedOn w:val="HeadingBase"/>
    <w:rsid w:val="00AC3995"/>
    <w:pPr>
      <w:spacing w:before="240" w:after="60"/>
    </w:pPr>
    <w:rPr>
      <w:sz w:val="20"/>
    </w:rPr>
  </w:style>
  <w:style w:type="paragraph" w:customStyle="1" w:styleId="SubHeading1">
    <w:name w:val="SubHeading1"/>
    <w:basedOn w:val="HeadingBase"/>
    <w:rsid w:val="00AC3995"/>
    <w:pPr>
      <w:spacing w:before="240" w:after="60"/>
    </w:pPr>
    <w:rPr>
      <w:color w:val="918585"/>
      <w:sz w:val="22"/>
    </w:rPr>
  </w:style>
  <w:style w:type="paragraph" w:customStyle="1" w:styleId="SideHeading">
    <w:name w:val="Side Heading"/>
    <w:basedOn w:val="HeadingBase"/>
    <w:rsid w:val="00AC39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3995"/>
    <w:pPr>
      <w:numPr>
        <w:numId w:val="12"/>
      </w:numPr>
    </w:pPr>
  </w:style>
  <w:style w:type="paragraph" w:styleId="PlainText">
    <w:name w:val="Plain Text"/>
    <w:basedOn w:val="Normal"/>
    <w:link w:val="PlainTextChar"/>
    <w:rsid w:val="00AC3995"/>
    <w:rPr>
      <w:sz w:val="20"/>
    </w:rPr>
  </w:style>
  <w:style w:type="character" w:customStyle="1" w:styleId="PlainTextChar">
    <w:name w:val="Plain Text Char"/>
    <w:basedOn w:val="DefaultParagraphFont"/>
    <w:link w:val="PlainText"/>
    <w:rsid w:val="00AC3995"/>
    <w:rPr>
      <w:rFonts w:ascii="Courier New" w:eastAsia="Times New Roman" w:hAnsi="Courier New" w:cs="Times New Roman"/>
      <w:sz w:val="20"/>
      <w:szCs w:val="20"/>
      <w:lang w:eastAsia="en-US"/>
    </w:rPr>
  </w:style>
  <w:style w:type="character" w:customStyle="1" w:styleId="MenuOption">
    <w:name w:val="Menu Option"/>
    <w:basedOn w:val="DefaultParagraphFont"/>
    <w:rsid w:val="00AC3995"/>
    <w:rPr>
      <w:b/>
      <w:smallCaps/>
    </w:rPr>
  </w:style>
  <w:style w:type="paragraph" w:customStyle="1" w:styleId="TableListNumber">
    <w:name w:val="Table List Number"/>
    <w:basedOn w:val="ListNumber"/>
    <w:rsid w:val="00AC3995"/>
    <w:pPr>
      <w:numPr>
        <w:numId w:val="0"/>
      </w:numPr>
    </w:pPr>
  </w:style>
  <w:style w:type="paragraph" w:styleId="TOC4">
    <w:name w:val="toc 4"/>
    <w:basedOn w:val="TOCBase"/>
    <w:next w:val="Normal"/>
    <w:semiHidden/>
    <w:rsid w:val="00AC3995"/>
    <w:pPr>
      <w:tabs>
        <w:tab w:val="right" w:leader="dot" w:pos="9071"/>
      </w:tabs>
      <w:ind w:left="1701"/>
    </w:pPr>
  </w:style>
  <w:style w:type="paragraph" w:customStyle="1" w:styleId="ListAlpha">
    <w:name w:val="List Alpha"/>
    <w:basedOn w:val="List"/>
    <w:rsid w:val="00AC3995"/>
    <w:pPr>
      <w:numPr>
        <w:numId w:val="10"/>
      </w:numPr>
    </w:pPr>
  </w:style>
  <w:style w:type="paragraph" w:customStyle="1" w:styleId="ListAlpha2">
    <w:name w:val="List Alpha 2"/>
    <w:basedOn w:val="List2"/>
    <w:rsid w:val="00AC3995"/>
    <w:pPr>
      <w:numPr>
        <w:numId w:val="9"/>
      </w:numPr>
    </w:pPr>
  </w:style>
  <w:style w:type="paragraph" w:styleId="List2">
    <w:name w:val="List 2"/>
    <w:basedOn w:val="BodyText"/>
    <w:rsid w:val="00AC3995"/>
    <w:pPr>
      <w:tabs>
        <w:tab w:val="left" w:pos="680"/>
      </w:tabs>
      <w:spacing w:before="60" w:after="60"/>
      <w:ind w:left="680" w:hanging="340"/>
    </w:pPr>
  </w:style>
  <w:style w:type="paragraph" w:styleId="List3">
    <w:name w:val="List 3"/>
    <w:basedOn w:val="BodyText"/>
    <w:rsid w:val="00AC3995"/>
    <w:pPr>
      <w:tabs>
        <w:tab w:val="left" w:pos="1021"/>
      </w:tabs>
      <w:spacing w:before="60" w:after="60"/>
      <w:ind w:left="1020" w:hanging="340"/>
    </w:pPr>
  </w:style>
  <w:style w:type="paragraph" w:styleId="List4">
    <w:name w:val="List 4"/>
    <w:basedOn w:val="BodyText"/>
    <w:rsid w:val="00AC3995"/>
    <w:pPr>
      <w:tabs>
        <w:tab w:val="left" w:pos="1361"/>
      </w:tabs>
      <w:spacing w:before="60" w:after="60"/>
      <w:ind w:left="1361" w:hanging="340"/>
    </w:pPr>
  </w:style>
  <w:style w:type="paragraph" w:styleId="List5">
    <w:name w:val="List 5"/>
    <w:basedOn w:val="BodyText"/>
    <w:rsid w:val="00AC3995"/>
    <w:pPr>
      <w:tabs>
        <w:tab w:val="left" w:pos="1701"/>
      </w:tabs>
      <w:spacing w:before="60" w:after="60"/>
      <w:ind w:left="1701" w:hanging="340"/>
    </w:pPr>
  </w:style>
  <w:style w:type="paragraph" w:styleId="ListBullet4">
    <w:name w:val="List Bullet 4"/>
    <w:basedOn w:val="List4"/>
    <w:rsid w:val="00AC3995"/>
    <w:pPr>
      <w:numPr>
        <w:numId w:val="4"/>
      </w:numPr>
      <w:tabs>
        <w:tab w:val="clear" w:pos="1361"/>
      </w:tabs>
    </w:pPr>
  </w:style>
  <w:style w:type="paragraph" w:styleId="ListBullet5">
    <w:name w:val="List Bullet 5"/>
    <w:basedOn w:val="List5"/>
    <w:rsid w:val="00AC3995"/>
    <w:pPr>
      <w:numPr>
        <w:numId w:val="5"/>
      </w:numPr>
    </w:pPr>
  </w:style>
  <w:style w:type="paragraph" w:styleId="ListContinue2">
    <w:name w:val="List Continue 2"/>
    <w:basedOn w:val="List2"/>
    <w:rsid w:val="00AC3995"/>
    <w:pPr>
      <w:ind w:firstLine="0"/>
    </w:pPr>
  </w:style>
  <w:style w:type="paragraph" w:styleId="ListContinue3">
    <w:name w:val="List Continue 3"/>
    <w:basedOn w:val="List3"/>
    <w:rsid w:val="00AC3995"/>
    <w:pPr>
      <w:ind w:left="1021" w:firstLine="0"/>
    </w:pPr>
  </w:style>
  <w:style w:type="paragraph" w:styleId="ListContinue4">
    <w:name w:val="List Continue 4"/>
    <w:basedOn w:val="List4"/>
    <w:rsid w:val="00AC3995"/>
    <w:pPr>
      <w:ind w:firstLine="0"/>
    </w:pPr>
  </w:style>
  <w:style w:type="paragraph" w:styleId="ListContinue5">
    <w:name w:val="List Continue 5"/>
    <w:basedOn w:val="List5"/>
    <w:rsid w:val="00AC3995"/>
    <w:pPr>
      <w:ind w:firstLine="0"/>
    </w:pPr>
  </w:style>
  <w:style w:type="paragraph" w:styleId="ListNumber3">
    <w:name w:val="List Number 3"/>
    <w:basedOn w:val="List3"/>
    <w:rsid w:val="00AC3995"/>
    <w:pPr>
      <w:numPr>
        <w:numId w:val="6"/>
      </w:numPr>
    </w:pPr>
  </w:style>
  <w:style w:type="paragraph" w:styleId="ListNumber4">
    <w:name w:val="List Number 4"/>
    <w:basedOn w:val="List4"/>
    <w:rsid w:val="00AC3995"/>
    <w:pPr>
      <w:numPr>
        <w:numId w:val="7"/>
      </w:numPr>
    </w:pPr>
  </w:style>
  <w:style w:type="paragraph" w:styleId="ListNumber5">
    <w:name w:val="List Number 5"/>
    <w:basedOn w:val="List5"/>
    <w:rsid w:val="00AC3995"/>
    <w:pPr>
      <w:numPr>
        <w:numId w:val="8"/>
      </w:numPr>
    </w:pPr>
  </w:style>
  <w:style w:type="paragraph" w:styleId="BlockText">
    <w:name w:val="Block Text"/>
    <w:basedOn w:val="Normal"/>
    <w:rsid w:val="00AC3995"/>
    <w:pPr>
      <w:spacing w:after="120"/>
      <w:ind w:left="1440" w:right="1440"/>
    </w:pPr>
  </w:style>
  <w:style w:type="character" w:customStyle="1" w:styleId="Subscript">
    <w:name w:val="Subscript"/>
    <w:basedOn w:val="DefaultParagraphFont"/>
    <w:rsid w:val="00AC3995"/>
    <w:rPr>
      <w:sz w:val="16"/>
      <w:vertAlign w:val="subscript"/>
    </w:rPr>
  </w:style>
  <w:style w:type="character" w:customStyle="1" w:styleId="Superscript">
    <w:name w:val="Superscript"/>
    <w:basedOn w:val="DefaultParagraphFont"/>
    <w:rsid w:val="00AC3995"/>
    <w:rPr>
      <w:sz w:val="16"/>
      <w:vertAlign w:val="superscript"/>
    </w:rPr>
  </w:style>
  <w:style w:type="character" w:customStyle="1" w:styleId="Symbols">
    <w:name w:val="Symbols"/>
    <w:basedOn w:val="DefaultParagraphFont"/>
    <w:rsid w:val="00AC3995"/>
    <w:rPr>
      <w:rFonts w:ascii="Symbol" w:hAnsi="Symbol"/>
    </w:rPr>
  </w:style>
  <w:style w:type="character" w:customStyle="1" w:styleId="MenuOptions">
    <w:name w:val="Menu Options"/>
    <w:basedOn w:val="DefaultParagraphFont"/>
    <w:rsid w:val="00AC3995"/>
    <w:rPr>
      <w:rFonts w:ascii="Arial Narrow" w:hAnsi="Arial Narrow"/>
      <w:smallCaps/>
    </w:rPr>
  </w:style>
  <w:style w:type="character" w:customStyle="1" w:styleId="Buttons">
    <w:name w:val="Buttons"/>
    <w:basedOn w:val="DefaultParagraphFont"/>
    <w:rsid w:val="00AC3995"/>
    <w:rPr>
      <w:b/>
    </w:rPr>
  </w:style>
  <w:style w:type="character" w:customStyle="1" w:styleId="Underlined">
    <w:name w:val="Underlined"/>
    <w:basedOn w:val="DefaultParagraphFont"/>
    <w:rsid w:val="00AC3995"/>
    <w:rPr>
      <w:u w:val="single"/>
    </w:rPr>
  </w:style>
  <w:style w:type="paragraph" w:customStyle="1" w:styleId="TableBodyTextRight">
    <w:name w:val="Table Body Text Right"/>
    <w:basedOn w:val="TableBodyText"/>
    <w:rsid w:val="00AC3995"/>
    <w:pPr>
      <w:widowControl w:val="0"/>
      <w:autoSpaceDE w:val="0"/>
      <w:autoSpaceDN w:val="0"/>
      <w:adjustRightInd w:val="0"/>
      <w:jc w:val="right"/>
    </w:pPr>
    <w:rPr>
      <w:rFonts w:cs="Arial"/>
      <w:szCs w:val="18"/>
    </w:rPr>
  </w:style>
  <w:style w:type="paragraph" w:customStyle="1" w:styleId="CopyrightText">
    <w:name w:val="Copyright Text"/>
    <w:basedOn w:val="BodyText"/>
    <w:rsid w:val="00AC3995"/>
    <w:rPr>
      <w:sz w:val="18"/>
    </w:rPr>
  </w:style>
  <w:style w:type="paragraph" w:customStyle="1" w:styleId="BodySmallRight">
    <w:name w:val="Body Small Right"/>
    <w:basedOn w:val="BodyTextRight"/>
    <w:rsid w:val="00AC3995"/>
    <w:rPr>
      <w:sz w:val="18"/>
      <w:szCs w:val="18"/>
    </w:rPr>
  </w:style>
  <w:style w:type="paragraph" w:customStyle="1" w:styleId="MarginEdition">
    <w:name w:val="Margin Edition"/>
    <w:basedOn w:val="MarginNote"/>
    <w:rsid w:val="00AC3995"/>
    <w:pPr>
      <w:spacing w:before="0" w:after="0"/>
    </w:pPr>
    <w:rPr>
      <w:rFonts w:ascii="Times New Roman" w:hAnsi="Times New Roman"/>
      <w:color w:val="999999"/>
    </w:rPr>
  </w:style>
  <w:style w:type="paragraph" w:customStyle="1" w:styleId="Spacer">
    <w:name w:val="Spacer"/>
    <w:basedOn w:val="Normal"/>
    <w:rsid w:val="00AC3995"/>
    <w:rPr>
      <w:sz w:val="2"/>
      <w:szCs w:val="2"/>
    </w:rPr>
  </w:style>
  <w:style w:type="character" w:customStyle="1" w:styleId="Small">
    <w:name w:val="Small"/>
    <w:basedOn w:val="DefaultParagraphFont"/>
    <w:rsid w:val="00AC3995"/>
    <w:rPr>
      <w:sz w:val="16"/>
    </w:rPr>
  </w:style>
  <w:style w:type="paragraph" w:customStyle="1" w:styleId="WideTable">
    <w:name w:val="Wide Table"/>
    <w:basedOn w:val="Normal"/>
    <w:rsid w:val="00AC3995"/>
    <w:pPr>
      <w:ind w:left="-1418"/>
    </w:pPr>
    <w:rPr>
      <w:sz w:val="2"/>
      <w:szCs w:val="2"/>
    </w:rPr>
  </w:style>
  <w:style w:type="character" w:styleId="PageNumber">
    <w:name w:val="page number"/>
    <w:basedOn w:val="DefaultParagraphFont"/>
    <w:rsid w:val="00AC3995"/>
  </w:style>
  <w:style w:type="paragraph" w:styleId="Quote">
    <w:name w:val="Quote"/>
    <w:basedOn w:val="Heading1"/>
    <w:link w:val="QuoteChar"/>
    <w:qFormat/>
    <w:rsid w:val="00AC3995"/>
    <w:rPr>
      <w:b w:val="0"/>
      <w:sz w:val="72"/>
      <w:szCs w:val="72"/>
      <w:lang w:val="en-NZ"/>
    </w:rPr>
  </w:style>
  <w:style w:type="character" w:customStyle="1" w:styleId="QuoteChar">
    <w:name w:val="Quote Char"/>
    <w:basedOn w:val="DefaultParagraphFont"/>
    <w:link w:val="Quote"/>
    <w:rsid w:val="00AC39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3995"/>
    <w:pPr>
      <w:pageBreakBefore/>
    </w:pPr>
  </w:style>
  <w:style w:type="paragraph" w:customStyle="1" w:styleId="Border">
    <w:name w:val="Border"/>
    <w:basedOn w:val="Normal"/>
    <w:qFormat/>
    <w:rsid w:val="00AC39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3995"/>
    <w:rPr>
      <w:b/>
      <w:bCs/>
      <w:i/>
      <w:iCs/>
      <w:color w:val="auto"/>
    </w:rPr>
  </w:style>
  <w:style w:type="paragraph" w:styleId="IntenseQuote">
    <w:name w:val="Intense Quote"/>
    <w:basedOn w:val="Normal"/>
    <w:next w:val="Normal"/>
    <w:link w:val="IntenseQuoteChar"/>
    <w:uiPriority w:val="30"/>
    <w:qFormat/>
    <w:rsid w:val="00AC39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39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3995"/>
    <w:rPr>
      <w:smallCaps/>
      <w:color w:val="auto"/>
      <w:u w:val="single"/>
    </w:rPr>
  </w:style>
  <w:style w:type="character" w:styleId="IntenseReference">
    <w:name w:val="Intense Reference"/>
    <w:basedOn w:val="DefaultParagraphFont"/>
    <w:uiPriority w:val="32"/>
    <w:qFormat/>
    <w:rsid w:val="00AC3995"/>
    <w:rPr>
      <w:b/>
      <w:bCs/>
      <w:smallCaps/>
      <w:color w:val="auto"/>
      <w:spacing w:val="5"/>
      <w:u w:val="single"/>
    </w:rPr>
  </w:style>
  <w:style w:type="paragraph" w:customStyle="1" w:styleId="2ColumnHeading">
    <w:name w:val="2Column Heading"/>
    <w:basedOn w:val="BodyText"/>
    <w:qFormat/>
    <w:rsid w:val="00AC3995"/>
    <w:pPr>
      <w:spacing w:after="60"/>
      <w:ind w:left="-2268"/>
    </w:pPr>
    <w:rPr>
      <w:b/>
    </w:rPr>
  </w:style>
  <w:style w:type="paragraph" w:customStyle="1" w:styleId="Heading1TOC">
    <w:name w:val="Heading1 TOC"/>
    <w:basedOn w:val="Normal"/>
    <w:qFormat/>
    <w:rsid w:val="00AC3995"/>
    <w:pPr>
      <w:spacing w:before="240" w:after="120"/>
    </w:pPr>
    <w:rPr>
      <w:rFonts w:ascii="Times New Roman" w:hAnsi="Times New Roman"/>
      <w:b/>
      <w:sz w:val="32"/>
    </w:rPr>
  </w:style>
  <w:style w:type="paragraph" w:customStyle="1" w:styleId="Heading2TOC">
    <w:name w:val="Heading2 TOC"/>
    <w:basedOn w:val="Normal"/>
    <w:qFormat/>
    <w:rsid w:val="00AC3995"/>
    <w:pPr>
      <w:spacing w:before="240" w:after="60"/>
    </w:pPr>
    <w:rPr>
      <w:rFonts w:ascii="Times New Roman" w:hAnsi="Times New Roman"/>
      <w:b/>
      <w:sz w:val="28"/>
    </w:rPr>
  </w:style>
  <w:style w:type="character" w:customStyle="1" w:styleId="Underline">
    <w:name w:val="Underline"/>
    <w:basedOn w:val="DefaultParagraphFont"/>
    <w:qFormat/>
    <w:rsid w:val="00AC3995"/>
    <w:rPr>
      <w:u w:val="single"/>
    </w:rPr>
  </w:style>
  <w:style w:type="character" w:customStyle="1" w:styleId="BoldandItalics">
    <w:name w:val="Bold and Italics"/>
    <w:qFormat/>
    <w:rsid w:val="00AC3995"/>
    <w:rPr>
      <w:b/>
      <w:i/>
      <w:u w:val="none"/>
    </w:rPr>
  </w:style>
  <w:style w:type="paragraph" w:styleId="BalloonText">
    <w:name w:val="Balloon Text"/>
    <w:basedOn w:val="Normal"/>
    <w:link w:val="BalloonTextChar"/>
    <w:rsid w:val="00AC3995"/>
    <w:rPr>
      <w:rFonts w:ascii="Tahoma" w:hAnsi="Tahoma" w:cs="Tahoma"/>
      <w:sz w:val="16"/>
      <w:szCs w:val="16"/>
    </w:rPr>
  </w:style>
  <w:style w:type="character" w:customStyle="1" w:styleId="BalloonTextChar">
    <w:name w:val="Balloon Text Char"/>
    <w:basedOn w:val="DefaultParagraphFont"/>
    <w:link w:val="BalloonText"/>
    <w:rsid w:val="00AC39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39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39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3995"/>
    <w:rPr>
      <w:b/>
      <w:color w:val="660033"/>
      <w:spacing w:val="0"/>
    </w:rPr>
  </w:style>
  <w:style w:type="paragraph" w:customStyle="1" w:styleId="Nameditemlist">
    <w:name w:val="Named item list"/>
    <w:basedOn w:val="BodyText"/>
    <w:qFormat/>
    <w:rsid w:val="00AC3995"/>
    <w:pPr>
      <w:tabs>
        <w:tab w:val="left" w:pos="2835"/>
      </w:tabs>
      <w:ind w:left="2835" w:hanging="2835"/>
    </w:pPr>
  </w:style>
  <w:style w:type="paragraph" w:customStyle="1" w:styleId="BodyTextnopadding">
    <w:name w:val="Body Text no padding"/>
    <w:basedOn w:val="BodyText"/>
    <w:qFormat/>
    <w:rsid w:val="00AC3995"/>
    <w:pPr>
      <w:spacing w:before="0" w:after="0"/>
    </w:pPr>
  </w:style>
  <w:style w:type="paragraph" w:customStyle="1" w:styleId="BodyTextBold">
    <w:name w:val="Body Text Bold"/>
    <w:basedOn w:val="BodyText"/>
    <w:qFormat/>
    <w:rsid w:val="00AC3995"/>
    <w:rPr>
      <w:b/>
    </w:rPr>
  </w:style>
  <w:style w:type="character" w:styleId="Hyperlink">
    <w:name w:val="Hyperlink"/>
    <w:basedOn w:val="DefaultParagraphFont"/>
    <w:uiPriority w:val="99"/>
    <w:unhideWhenUsed/>
    <w:rsid w:val="00BA59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536</Words>
  <Characters>3782</Characters>
  <Application>Microsoft Office Word</Application>
  <DocSecurity>0</DocSecurity>
  <Lines>87</Lines>
  <Paragraphs>62</Paragraphs>
  <ScaleCrop>false</ScaleCrop>
  <Company>Author-it Software Corporation Ltd.</Company>
  <LinksUpToDate>false</LinksUpToDate>
  <CharactersWithSpaces>4256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UEEEL0029 Conduct compliance inspection of LV electrical installations with demand exceeding 100 A per phase</dc:title>
  <dc:subject>Approved</dc:subject>
  <dc:creator>Powering Skills Organisation</dc:creator>
  <cp:keywords>Release: 2</cp:keywords>
  <dc:description>Review Date: 12 April 2008</dc:description>
  <cp:lastModifiedBy>HSD_TPCMSd.prod</cp:lastModifiedBy>
  <cp:revision>3</cp:revision>
  <dcterms:created xsi:type="dcterms:W3CDTF">2024-12-02T06:46:00Z</dcterms:created>
  <dcterms:modified xsi:type="dcterms:W3CDTF">2024-12-02T06:46:00Z</dcterms:modified>
</cp:coreProperties>
</file>