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73D" w:rsidP="00D3073D">
      <w:pPr>
        <w:pStyle w:val="Title"/>
      </w:pPr>
      <w:r>
        <w:fldChar w:fldCharType="begin"/>
      </w:r>
      <w:r>
        <w:instrText xml:space="preserve"> TITLE   \* MERGEFORMAT </w:instrText>
      </w:r>
      <w:r>
        <w:fldChar w:fldCharType="separate"/>
      </w:r>
      <w:r>
        <w:t>Assessment Requirements for UEEEL0027 Carry out low voltage electrical field testing and report findings</w:t>
      </w:r>
      <w:r>
        <w:fldChar w:fldCharType="end"/>
      </w:r>
    </w:p>
    <w:p w:rsidR="00D3073D" w:rsidP="00D3073D">
      <w:pPr>
        <w:pStyle w:val="Version"/>
        <w:sectPr w:rsidSect="00E922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221F" w:rsidP="00E9221F">
      <w:pPr>
        <w:pStyle w:val="SuperHeading"/>
      </w:pPr>
      <w:r w:rsidRPr="00E9221F">
        <w:t>Assessment Requirements for UEEEL0027 Carry out low voltage electrical field testing and report findings</w:t>
      </w:r>
    </w:p>
    <w:p w:rsidR="00000000" w:rsidRPr="00E9221F" w:rsidP="00E9221F">
      <w:pPr>
        <w:pStyle w:val="Heading1"/>
      </w:pPr>
      <w:bookmarkStart w:id="1" w:name="O_1288817"/>
      <w:bookmarkEnd w:id="1"/>
      <w:r w:rsidRPr="00E9221F">
        <w:t>Modification History</w:t>
      </w:r>
    </w:p>
    <w:tbl>
      <w:tblPr>
        <w:tblW w:w="9497" w:type="dxa"/>
        <w:tblLayout w:type="fixed"/>
        <w:tblCellMar>
          <w:left w:w="62" w:type="dxa"/>
          <w:right w:w="62" w:type="dxa"/>
        </w:tblCellMar>
        <w:tblLook w:val="0000"/>
      </w:tblPr>
      <w:tblGrid>
        <w:gridCol w:w="9497"/>
      </w:tblGrid>
      <w:tr w:rsidTr="00E92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21F">
            <w:pPr>
              <w:pStyle w:val="BodyText"/>
              <w:rPr>
                <w:lang w:val="en-NZ"/>
              </w:rPr>
            </w:pPr>
            <w:r w:rsidRPr="00E9221F">
              <w:t>Release 2. Minor Change. Typographic error in prerequisites corrected.</w:t>
            </w:r>
          </w:p>
        </w:tc>
      </w:tr>
      <w:tr w:rsidTr="00E92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21F" w:rsidP="00E9221F">
            <w:pPr>
              <w:pStyle w:val="BodyText"/>
            </w:pPr>
            <w:r w:rsidRPr="00E9221F">
              <w:t>Release 1. This is the first release of this unit of competency in the UEE Electrotechnology Training Package.</w:t>
            </w:r>
          </w:p>
        </w:tc>
      </w:tr>
    </w:tbl>
    <w:p w:rsidR="00000000" w:rsidRPr="00E9221F" w:rsidP="00E9221F">
      <w:pPr>
        <w:pStyle w:val="NoPaddingFontSize1"/>
      </w:pPr>
    </w:p>
    <w:p w:rsidR="00000000" w:rsidRPr="00E9221F" w:rsidP="00E9221F">
      <w:pPr>
        <w:pStyle w:val="AllowPageBreak"/>
      </w:pPr>
    </w:p>
    <w:p w:rsidR="00000000" w:rsidRPr="00E9221F" w:rsidP="00E9221F">
      <w:pPr>
        <w:pStyle w:val="Heading1"/>
      </w:pPr>
      <w:bookmarkStart w:id="2" w:name="O_1288816"/>
      <w:bookmarkEnd w:id="2"/>
      <w:r w:rsidRPr="00E9221F">
        <w:t>Performance Evidence</w:t>
      </w:r>
    </w:p>
    <w:tbl>
      <w:tblPr>
        <w:tblW w:w="9497" w:type="dxa"/>
        <w:tblLayout w:type="fixed"/>
        <w:tblCellMar>
          <w:left w:w="62" w:type="dxa"/>
          <w:right w:w="62" w:type="dxa"/>
        </w:tblCellMar>
        <w:tblLook w:val="0000"/>
      </w:tblPr>
      <w:tblGrid>
        <w:gridCol w:w="9497"/>
      </w:tblGrid>
      <w:tr w:rsidTr="00E92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21F">
            <w:pPr>
              <w:pStyle w:val="BodyText"/>
              <w:rPr>
                <w:lang w:val="en-NZ"/>
              </w:rPr>
            </w:pPr>
            <w:r w:rsidRPr="00E9221F">
              <w:t>Evidence required to demonstrate competence in this unit must be relevant to and satisfy all of the req</w:t>
            </w:r>
            <w:r w:rsidRPr="00E9221F">
              <w:t xml:space="preserve">uirements of the elements, performance criteria and range of conditions on at least two separate occasions and include: </w:t>
            </w:r>
          </w:p>
        </w:tc>
      </w:tr>
      <w:tr w:rsidTr="00E92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21F" w:rsidP="00E9221F">
            <w:pPr>
              <w:pStyle w:val="ListBullet"/>
            </w:pPr>
            <w:r w:rsidRPr="00E9221F">
              <w:t>applying relevant industry standards</w:t>
            </w:r>
          </w:p>
          <w:p w:rsidR="00000000" w:rsidRPr="00E9221F" w:rsidP="00E9221F">
            <w:pPr>
              <w:pStyle w:val="ListBullet"/>
            </w:pPr>
            <w:r w:rsidRPr="00E9221F">
              <w:t>applying relevant work health and safety (WHS)/occupational health and safety (OHS) requirements</w:t>
            </w:r>
            <w:r w:rsidRPr="00E9221F">
              <w:t>, including using risk control measures</w:t>
            </w:r>
          </w:p>
          <w:p w:rsidR="00000000" w:rsidRPr="00E9221F" w:rsidP="00E9221F">
            <w:pPr>
              <w:pStyle w:val="ListBullet"/>
            </w:pPr>
            <w:r w:rsidRPr="00E9221F">
              <w:t>applying sustainable energy practices</w:t>
            </w:r>
          </w:p>
          <w:p w:rsidR="00000000" w:rsidRPr="00E9221F" w:rsidP="00E9221F">
            <w:pPr>
              <w:pStyle w:val="ListBullet"/>
            </w:pPr>
            <w:r w:rsidRPr="00E9221F">
              <w:t>carrying out inspection and testing, including:</w:t>
            </w:r>
          </w:p>
          <w:p w:rsidR="00000000" w:rsidRPr="00E9221F" w:rsidP="00E9221F">
            <w:pPr>
              <w:pStyle w:val="ListBullet2"/>
            </w:pPr>
            <w:r w:rsidRPr="00E9221F">
              <w:t>selecting and setting up relevant testing/measuring instruments</w:t>
            </w:r>
          </w:p>
          <w:p w:rsidR="00000000" w:rsidRPr="00E9221F" w:rsidP="00E9221F">
            <w:pPr>
              <w:pStyle w:val="ListBullet2"/>
            </w:pPr>
            <w:r w:rsidRPr="00E9221F">
              <w:t xml:space="preserve">using relevant testing techniques </w:t>
            </w:r>
          </w:p>
          <w:p w:rsidR="00000000" w:rsidRPr="00E9221F" w:rsidP="00E9221F">
            <w:pPr>
              <w:pStyle w:val="ListBullet2"/>
            </w:pPr>
            <w:r w:rsidRPr="00E9221F">
              <w:t>using testing and measuring instruments</w:t>
            </w:r>
          </w:p>
          <w:p w:rsidR="00000000" w:rsidRPr="00E9221F" w:rsidP="00E9221F">
            <w:pPr>
              <w:pStyle w:val="ListBullet"/>
            </w:pPr>
            <w:r w:rsidRPr="00E9221F">
              <w:t xml:space="preserve">completing electrical field inspection, testing and report findings </w:t>
            </w:r>
          </w:p>
          <w:p w:rsidR="00000000" w:rsidRPr="00E9221F" w:rsidP="00E9221F">
            <w:pPr>
              <w:pStyle w:val="ListBullet"/>
            </w:pPr>
            <w:r w:rsidRPr="00E9221F">
              <w:t>dealing with unplanned events/situations in accordance with workplace procedures in a manner that minimises risk to personnel and equipment</w:t>
            </w:r>
          </w:p>
          <w:p w:rsidR="00000000" w:rsidRPr="00E9221F" w:rsidP="00E9221F">
            <w:pPr>
              <w:pStyle w:val="ListBullet"/>
            </w:pPr>
            <w:r w:rsidRPr="00E9221F">
              <w:t>follow</w:t>
            </w:r>
            <w:r w:rsidRPr="00E9221F">
              <w:t>ing workplace procedures and instructions</w:t>
            </w:r>
          </w:p>
          <w:p w:rsidR="00000000" w:rsidRPr="00E9221F" w:rsidP="00E9221F">
            <w:pPr>
              <w:pStyle w:val="ListBullet"/>
            </w:pPr>
            <w:r w:rsidRPr="00E9221F">
              <w:t>preparing electrical field testing, including:</w:t>
            </w:r>
          </w:p>
          <w:p w:rsidR="00000000" w:rsidRPr="00E9221F" w:rsidP="00E9221F">
            <w:pPr>
              <w:pStyle w:val="ListBullet2"/>
            </w:pPr>
            <w:r w:rsidRPr="00E9221F">
              <w:t>identifying work from reports and/or discussion with appropriate person/s</w:t>
            </w:r>
          </w:p>
          <w:p w:rsidR="00000000" w:rsidRPr="00E9221F" w:rsidP="00E9221F">
            <w:pPr>
              <w:pStyle w:val="ListBullet2"/>
            </w:pPr>
            <w:r w:rsidRPr="00E9221F">
              <w:t>locating tools, equipment and testing devices.</w:t>
            </w:r>
          </w:p>
        </w:tc>
      </w:tr>
    </w:tbl>
    <w:p w:rsidR="00000000" w:rsidRPr="00E9221F" w:rsidP="00E9221F">
      <w:pPr>
        <w:pStyle w:val="NoPaddingFontSize1"/>
      </w:pPr>
    </w:p>
    <w:p w:rsidR="00000000" w:rsidRPr="00E9221F" w:rsidP="00E9221F">
      <w:pPr>
        <w:pStyle w:val="AllowPageBreak"/>
      </w:pPr>
    </w:p>
    <w:p w:rsidR="00000000" w:rsidRPr="00E9221F" w:rsidP="00E9221F">
      <w:pPr>
        <w:pStyle w:val="Heading1"/>
      </w:pPr>
      <w:bookmarkStart w:id="3" w:name="O_1288815"/>
      <w:bookmarkEnd w:id="3"/>
      <w:r w:rsidRPr="00E9221F">
        <w:t>Knowledge Evidence</w:t>
      </w:r>
    </w:p>
    <w:tbl>
      <w:tblPr>
        <w:tblW w:w="9497" w:type="dxa"/>
        <w:tblLayout w:type="fixed"/>
        <w:tblCellMar>
          <w:left w:w="62" w:type="dxa"/>
          <w:right w:w="62" w:type="dxa"/>
        </w:tblCellMar>
        <w:tblLook w:val="0000"/>
      </w:tblPr>
      <w:tblGrid>
        <w:gridCol w:w="9497"/>
      </w:tblGrid>
      <w:tr w:rsidTr="00E92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221F">
            <w:pPr>
              <w:pStyle w:val="BodyText"/>
              <w:rPr>
                <w:lang w:val="en-NZ"/>
              </w:rPr>
            </w:pPr>
            <w:r w:rsidRPr="00E9221F">
              <w:t xml:space="preserve">Evidence required to demonstrate competence in this unit must be relevant to and satisfy all of the requirements of the elements, performance criteria and range of conditions and include knowledge of: </w:t>
            </w:r>
          </w:p>
        </w:tc>
      </w:tr>
      <w:tr w:rsidTr="00E92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21F" w:rsidP="00E9221F">
            <w:pPr>
              <w:pStyle w:val="ListBullet"/>
            </w:pPr>
            <w:r w:rsidRPr="00E9221F">
              <w:t>advanced electrical testing and measuring devices, i</w:t>
            </w:r>
            <w:r w:rsidRPr="00E9221F">
              <w:t>ncluding:</w:t>
            </w:r>
          </w:p>
          <w:p w:rsidR="00000000" w:rsidRPr="00E9221F" w:rsidP="00E9221F">
            <w:pPr>
              <w:pStyle w:val="ListBullet2"/>
            </w:pPr>
            <w:r w:rsidRPr="00E9221F">
              <w:t>testing/measuring devices and their application</w:t>
            </w:r>
          </w:p>
          <w:p w:rsidR="00000000" w:rsidRPr="00E9221F" w:rsidP="00E9221F">
            <w:pPr>
              <w:pStyle w:val="ListBullet2"/>
            </w:pPr>
            <w:r w:rsidRPr="00E9221F">
              <w:t>circuit arrangement and safety procedures for connection of testing/measuring devices into a circuit</w:t>
            </w:r>
          </w:p>
          <w:p w:rsidR="00000000" w:rsidRPr="00E9221F" w:rsidP="00E9221F">
            <w:pPr>
              <w:pStyle w:val="ListBullet2"/>
            </w:pPr>
            <w:r w:rsidRPr="00E9221F">
              <w:t>taking readings</w:t>
            </w:r>
          </w:p>
          <w:p w:rsidR="00000000" w:rsidRPr="00E9221F" w:rsidP="00E9221F">
            <w:pPr>
              <w:pStyle w:val="ListBullet2"/>
            </w:pPr>
            <w:r w:rsidRPr="00E9221F">
              <w:t>storage, maintenance and care of testing/measuring devices</w:t>
            </w:r>
          </w:p>
          <w:p w:rsidR="00000000" w:rsidRPr="00E9221F" w:rsidP="00E9221F">
            <w:pPr>
              <w:pStyle w:val="ListBullet"/>
            </w:pPr>
            <w:r w:rsidRPr="00E9221F">
              <w:t>measurement concepts, including:</w:t>
            </w:r>
          </w:p>
          <w:p w:rsidR="00000000" w:rsidRPr="00E9221F" w:rsidP="00E9221F">
            <w:pPr>
              <w:pStyle w:val="ListBullet2"/>
            </w:pPr>
            <w:r w:rsidRPr="00E9221F">
              <w:t>notion of error, accuracy and resolution</w:t>
            </w:r>
          </w:p>
          <w:p w:rsidR="00000000" w:rsidRPr="00E9221F" w:rsidP="00E9221F">
            <w:pPr>
              <w:pStyle w:val="ListBullet2"/>
            </w:pPr>
            <w:r w:rsidRPr="00E9221F">
              <w:t>sources of measurement error and uncertainties</w:t>
            </w:r>
          </w:p>
          <w:p w:rsidR="00000000" w:rsidRPr="00E9221F" w:rsidP="00E9221F">
            <w:pPr>
              <w:pStyle w:val="ListBullet2"/>
            </w:pPr>
            <w:r w:rsidRPr="00E9221F">
              <w:t>instrument specifications and calibration certificates</w:t>
            </w:r>
          </w:p>
          <w:p w:rsidR="00000000" w:rsidRPr="00E9221F" w:rsidP="00E9221F">
            <w:pPr>
              <w:pStyle w:val="ListBullet2"/>
            </w:pPr>
            <w:r w:rsidRPr="00E9221F">
              <w:t>test and measuring instrument safety certification levels and their application</w:t>
            </w:r>
          </w:p>
          <w:p w:rsidR="00000000" w:rsidRPr="00E9221F" w:rsidP="00E9221F">
            <w:pPr>
              <w:pStyle w:val="ListBullet"/>
            </w:pPr>
            <w:r w:rsidRPr="00E9221F">
              <w:t>types of field measuring instruments and their application, including:</w:t>
            </w:r>
          </w:p>
          <w:p w:rsidR="00000000" w:rsidRPr="00E9221F" w:rsidP="00E9221F">
            <w:pPr>
              <w:pStyle w:val="ListBullet2"/>
            </w:pPr>
            <w:r w:rsidRPr="00E9221F">
              <w:t>instrument meter movements and readouts, including moving coil, moving iron and dynamometer meter movements, liquid crystal display (LCD) digital and screen readouts</w:t>
            </w:r>
          </w:p>
          <w:p w:rsidR="00000000" w:rsidRPr="00E9221F" w:rsidP="00E9221F">
            <w:pPr>
              <w:pStyle w:val="ListBullet2"/>
            </w:pPr>
            <w:r w:rsidRPr="00E9221F">
              <w:t>role of a microp</w:t>
            </w:r>
            <w:r w:rsidRPr="00E9221F">
              <w:t>rocessor/controller in measuring instrument</w:t>
            </w:r>
          </w:p>
          <w:p w:rsidR="00000000" w:rsidRPr="00E9221F" w:rsidP="00E9221F">
            <w:pPr>
              <w:pStyle w:val="ListBullet"/>
            </w:pPr>
            <w:r w:rsidRPr="00E9221F">
              <w:t>measuring low voltages (LV) and direct currents (d.c.) and alternating currents (a.c.), including:</w:t>
            </w:r>
          </w:p>
          <w:p w:rsidR="00000000" w:rsidRPr="00E9221F" w:rsidP="00E9221F">
            <w:pPr>
              <w:pStyle w:val="ListBullet2"/>
            </w:pPr>
            <w:r w:rsidRPr="00E9221F">
              <w:t>LV and current measurement techniques embodied in microprocessor-based instruments</w:t>
            </w:r>
          </w:p>
          <w:p w:rsidR="00000000" w:rsidRPr="00E9221F" w:rsidP="00E9221F">
            <w:pPr>
              <w:pStyle w:val="ListBullet2"/>
            </w:pPr>
            <w:r w:rsidRPr="00E9221F">
              <w:t>causes of inaccuracies and o</w:t>
            </w:r>
            <w:r w:rsidRPr="00E9221F">
              <w:t>vercoming them</w:t>
            </w:r>
          </w:p>
          <w:p w:rsidR="00000000" w:rsidRPr="00E9221F" w:rsidP="00E9221F">
            <w:pPr>
              <w:pStyle w:val="ListBullet2"/>
            </w:pPr>
            <w:r w:rsidRPr="00E9221F">
              <w:t>test instrument set-up and safety procedures</w:t>
            </w:r>
          </w:p>
          <w:p w:rsidR="00000000" w:rsidRPr="00E9221F" w:rsidP="00E9221F">
            <w:pPr>
              <w:pStyle w:val="ListBullet2"/>
            </w:pPr>
            <w:r w:rsidRPr="00E9221F">
              <w:t>interpreting test readings</w:t>
            </w:r>
          </w:p>
          <w:p w:rsidR="00000000" w:rsidRPr="00E9221F" w:rsidP="00E9221F">
            <w:pPr>
              <w:pStyle w:val="ListBullet"/>
            </w:pPr>
            <w:r w:rsidRPr="00E9221F">
              <w:t>measuring high voltages (HV) and d.c. and a.c. including:</w:t>
            </w:r>
          </w:p>
          <w:p w:rsidR="00000000" w:rsidRPr="00E9221F" w:rsidP="00E9221F">
            <w:pPr>
              <w:pStyle w:val="ListBullet2"/>
            </w:pPr>
            <w:r w:rsidRPr="00E9221F">
              <w:t>HV and current measurement techniques embodied in microprocessor-based instruments</w:t>
            </w:r>
          </w:p>
          <w:p w:rsidR="00000000" w:rsidRPr="00E9221F" w:rsidP="00E9221F">
            <w:pPr>
              <w:pStyle w:val="ListBullet2"/>
            </w:pPr>
            <w:r w:rsidRPr="00E9221F">
              <w:t>causes of inaccuracies and overcoming them</w:t>
            </w:r>
          </w:p>
          <w:p w:rsidR="00000000" w:rsidRPr="00E9221F" w:rsidP="00E9221F">
            <w:pPr>
              <w:pStyle w:val="ListBullet2"/>
            </w:pPr>
            <w:r w:rsidRPr="00E9221F">
              <w:t>test instrument set up and safety procedures</w:t>
            </w:r>
          </w:p>
          <w:p w:rsidR="00000000" w:rsidRPr="00E9221F" w:rsidP="00E9221F">
            <w:pPr>
              <w:pStyle w:val="ListBullet2"/>
            </w:pPr>
            <w:r w:rsidRPr="00E9221F">
              <w:t>interpreting test readings</w:t>
            </w:r>
          </w:p>
          <w:p w:rsidR="00000000" w:rsidRPr="00E9221F" w:rsidP="00E9221F">
            <w:pPr>
              <w:pStyle w:val="ListBullet"/>
            </w:pPr>
            <w:r w:rsidRPr="00E9221F">
              <w:t>measuring fault levels and (earth) fault-loop impedance, including:</w:t>
            </w:r>
          </w:p>
          <w:p w:rsidR="00000000" w:rsidRPr="00E9221F" w:rsidP="00E9221F">
            <w:pPr>
              <w:pStyle w:val="ListBullet2"/>
            </w:pPr>
            <w:r w:rsidRPr="00E9221F">
              <w:t>fault and fault-loop impedance measurement techniques embodied in micro</w:t>
            </w:r>
            <w:r w:rsidRPr="00E9221F">
              <w:t>processor-based instruments</w:t>
            </w:r>
          </w:p>
          <w:p w:rsidR="00000000" w:rsidRPr="00E9221F" w:rsidP="00E9221F">
            <w:pPr>
              <w:pStyle w:val="ListBullet2"/>
            </w:pPr>
            <w:r w:rsidRPr="00E9221F">
              <w:t>causes of inaccuracies and overcoming them</w:t>
            </w:r>
          </w:p>
          <w:p w:rsidR="00000000" w:rsidRPr="00E9221F" w:rsidP="00E9221F">
            <w:pPr>
              <w:pStyle w:val="ListBullet2"/>
            </w:pPr>
            <w:r w:rsidRPr="00E9221F">
              <w:t>test instrument set-up and safety procedures</w:t>
            </w:r>
          </w:p>
          <w:p w:rsidR="00000000" w:rsidRPr="00E9221F" w:rsidP="00E9221F">
            <w:pPr>
              <w:pStyle w:val="ListBullet2"/>
            </w:pPr>
            <w:r w:rsidRPr="00E9221F">
              <w:t>interpreting test readings</w:t>
            </w:r>
          </w:p>
          <w:p w:rsidR="00000000" w:rsidRPr="00E9221F" w:rsidP="00E9221F">
            <w:pPr>
              <w:pStyle w:val="ListBullet"/>
            </w:pPr>
            <w:r w:rsidRPr="00E9221F">
              <w:t>measuring power, energy, reactive power, power factor and maximum demand, including:</w:t>
            </w:r>
          </w:p>
          <w:p w:rsidR="00000000" w:rsidRPr="00E9221F" w:rsidP="00E9221F">
            <w:pPr>
              <w:pStyle w:val="ListBullet2"/>
            </w:pPr>
            <w:r w:rsidRPr="00E9221F">
              <w:t>power measurement techniqu</w:t>
            </w:r>
            <w:r w:rsidRPr="00E9221F">
              <w:t>es embodied in microprocessor-based instruments</w:t>
            </w:r>
          </w:p>
          <w:p w:rsidR="00000000" w:rsidRPr="00E9221F" w:rsidP="00E9221F">
            <w:pPr>
              <w:pStyle w:val="ListBullet2"/>
            </w:pPr>
            <w:r w:rsidRPr="00E9221F">
              <w:t>causes of inaccuracies and overcoming them</w:t>
            </w:r>
          </w:p>
          <w:p w:rsidR="00000000" w:rsidRPr="00E9221F" w:rsidP="00E9221F">
            <w:pPr>
              <w:pStyle w:val="ListBullet2"/>
            </w:pPr>
            <w:r w:rsidRPr="00E9221F">
              <w:t>test instrument set-up and safety procedures</w:t>
            </w:r>
          </w:p>
          <w:p w:rsidR="00000000" w:rsidRPr="00E9221F" w:rsidP="00E9221F">
            <w:pPr>
              <w:pStyle w:val="ListBullet2"/>
            </w:pPr>
            <w:r w:rsidRPr="00E9221F">
              <w:t>interpreting test readings</w:t>
            </w:r>
          </w:p>
          <w:p w:rsidR="00000000" w:rsidRPr="00E9221F" w:rsidP="00E9221F">
            <w:pPr>
              <w:pStyle w:val="ListBullet"/>
            </w:pPr>
            <w:r w:rsidRPr="00E9221F">
              <w:t>measuring power quality, including:</w:t>
            </w:r>
          </w:p>
          <w:p w:rsidR="00000000" w:rsidRPr="00E9221F" w:rsidP="00E9221F">
            <w:pPr>
              <w:pStyle w:val="ListBullet2"/>
            </w:pPr>
            <w:r w:rsidRPr="00E9221F">
              <w:t>power measurement techniques embodied in microprocessor-based instruments</w:t>
            </w:r>
          </w:p>
          <w:p w:rsidR="00000000" w:rsidRPr="00E9221F" w:rsidP="00E9221F">
            <w:pPr>
              <w:pStyle w:val="ListBullet2"/>
            </w:pPr>
            <w:r w:rsidRPr="00E9221F">
              <w:t>causes of inaccuracies and overcoming them</w:t>
            </w:r>
          </w:p>
          <w:p w:rsidR="00000000" w:rsidRPr="00E9221F" w:rsidP="00E9221F">
            <w:pPr>
              <w:pStyle w:val="ListBullet2"/>
            </w:pPr>
            <w:r w:rsidRPr="00E9221F">
              <w:t>test instrument set-up and safety procedures</w:t>
            </w:r>
          </w:p>
          <w:p w:rsidR="00000000" w:rsidRPr="00E9221F" w:rsidP="00E9221F">
            <w:pPr>
              <w:pStyle w:val="ListBullet2"/>
            </w:pPr>
            <w:r w:rsidRPr="00E9221F">
              <w:t>interpreting test readings, including power quality measurement, including waveform distortion</w:t>
            </w:r>
            <w:r w:rsidRPr="00E9221F">
              <w:t>, harmonics, power factor and transients</w:t>
            </w:r>
          </w:p>
          <w:p w:rsidR="00000000" w:rsidRPr="00E9221F" w:rsidP="00E9221F">
            <w:pPr>
              <w:pStyle w:val="ListBullet"/>
            </w:pPr>
            <w:r w:rsidRPr="00E9221F">
              <w:t>power cable faults and fault detection techniques, including:</w:t>
            </w:r>
          </w:p>
          <w:p w:rsidR="00000000" w:rsidRPr="00E9221F" w:rsidP="00E9221F">
            <w:pPr>
              <w:pStyle w:val="ListBullet2"/>
            </w:pPr>
            <w:r w:rsidRPr="00E9221F">
              <w:t>poor connection (high resistance)</w:t>
            </w:r>
          </w:p>
          <w:p w:rsidR="00000000" w:rsidRPr="00E9221F" w:rsidP="00E9221F">
            <w:pPr>
              <w:pStyle w:val="ListBullet2"/>
            </w:pPr>
            <w:r w:rsidRPr="00E9221F">
              <w:t>open circuit</w:t>
            </w:r>
          </w:p>
          <w:p w:rsidR="00000000" w:rsidRPr="00E9221F" w:rsidP="00E9221F">
            <w:pPr>
              <w:pStyle w:val="ListBullet2"/>
            </w:pPr>
            <w:r w:rsidRPr="00E9221F">
              <w:t>insulation breakdown and arcing</w:t>
            </w:r>
          </w:p>
          <w:p w:rsidR="00000000" w:rsidRPr="00E9221F" w:rsidP="00E9221F">
            <w:pPr>
              <w:pStyle w:val="ListBullet2"/>
            </w:pPr>
            <w:r w:rsidRPr="00E9221F">
              <w:t>Varley and Murray loop tests</w:t>
            </w:r>
          </w:p>
          <w:p w:rsidR="00000000" w:rsidRPr="00E9221F" w:rsidP="00E9221F">
            <w:pPr>
              <w:pStyle w:val="ListBullet2"/>
            </w:pPr>
            <w:r w:rsidRPr="00E9221F">
              <w:t>pulse test</w:t>
            </w:r>
          </w:p>
          <w:p w:rsidR="00000000" w:rsidRPr="00E9221F" w:rsidP="00E9221F">
            <w:pPr>
              <w:pStyle w:val="ListBullet2"/>
            </w:pPr>
            <w:r w:rsidRPr="00E9221F">
              <w:t>echo test</w:t>
            </w:r>
          </w:p>
          <w:p w:rsidR="00000000" w:rsidRPr="00E9221F" w:rsidP="00E9221F">
            <w:pPr>
              <w:pStyle w:val="ListBullet2"/>
            </w:pPr>
            <w:r w:rsidRPr="00E9221F">
              <w:t>radio-based tests</w:t>
            </w:r>
          </w:p>
          <w:p w:rsidR="00000000" w:rsidRPr="00E9221F" w:rsidP="00E9221F">
            <w:pPr>
              <w:pStyle w:val="ListBullet"/>
            </w:pPr>
            <w:r w:rsidRPr="00E9221F">
              <w:t>application and limitations of the various cable fault detection techniques, including:</w:t>
            </w:r>
          </w:p>
          <w:p w:rsidR="00000000" w:rsidRPr="00E9221F" w:rsidP="00E9221F">
            <w:pPr>
              <w:pStyle w:val="ListBullet2"/>
            </w:pPr>
            <w:r w:rsidRPr="00E9221F">
              <w:t>cable fault detection techniques embodied in microprocessor-based instruments</w:t>
            </w:r>
          </w:p>
          <w:p w:rsidR="00000000" w:rsidRPr="00E9221F" w:rsidP="00E9221F">
            <w:pPr>
              <w:pStyle w:val="ListBullet2"/>
            </w:pPr>
            <w:r w:rsidRPr="00E9221F">
              <w:t>causes of inaccuracies and overcoming them</w:t>
            </w:r>
          </w:p>
          <w:p w:rsidR="00000000" w:rsidRPr="00E9221F" w:rsidP="00E9221F">
            <w:pPr>
              <w:pStyle w:val="ListBullet2"/>
            </w:pPr>
            <w:r w:rsidRPr="00E9221F">
              <w:t>test instrument set-up and safety procedures</w:t>
            </w:r>
          </w:p>
          <w:p w:rsidR="00000000" w:rsidRPr="00E9221F" w:rsidP="00E9221F">
            <w:pPr>
              <w:pStyle w:val="ListBullet2"/>
            </w:pPr>
            <w:r w:rsidRPr="00E9221F">
              <w:t>i</w:t>
            </w:r>
            <w:r w:rsidRPr="00E9221F">
              <w:t>nterpreting test readings</w:t>
            </w:r>
          </w:p>
          <w:p w:rsidR="00000000" w:rsidRPr="00E9221F" w:rsidP="00E9221F">
            <w:pPr>
              <w:pStyle w:val="ListBullet"/>
            </w:pPr>
            <w:r w:rsidRPr="00E9221F">
              <w:t>problem-solving techniques</w:t>
            </w:r>
          </w:p>
          <w:p w:rsidR="00000000" w:rsidRPr="00E9221F" w:rsidP="00E9221F">
            <w:pPr>
              <w:pStyle w:val="ListBullet"/>
            </w:pPr>
            <w:r w:rsidRPr="00E9221F">
              <w:t>relevant industry standards and codes of practice for electrical inspection and testing</w:t>
            </w:r>
          </w:p>
          <w:p w:rsidR="00000000" w:rsidRPr="00E9221F" w:rsidP="00E9221F">
            <w:pPr>
              <w:pStyle w:val="ListBullet"/>
            </w:pPr>
            <w:r w:rsidRPr="00E9221F">
              <w:t>relevant job safety assessments or risk mitigation processes</w:t>
            </w:r>
          </w:p>
          <w:p w:rsidR="00000000" w:rsidRPr="00E9221F" w:rsidP="00E9221F">
            <w:pPr>
              <w:pStyle w:val="ListBullet"/>
            </w:pPr>
            <w:r w:rsidRPr="00E9221F">
              <w:t>relevant manufacturer specifications and operating in</w:t>
            </w:r>
            <w:r w:rsidRPr="00E9221F">
              <w:t>structions for tools and equipment</w:t>
            </w:r>
          </w:p>
          <w:p w:rsidR="00000000" w:rsidRPr="00E9221F" w:rsidP="00E9221F">
            <w:pPr>
              <w:pStyle w:val="ListBullet"/>
            </w:pPr>
            <w:r w:rsidRPr="00E9221F">
              <w:t>relevant quality workplace procedures</w:t>
            </w:r>
          </w:p>
          <w:p w:rsidR="00000000" w:rsidRPr="00E9221F" w:rsidP="00E9221F">
            <w:pPr>
              <w:pStyle w:val="ListBullet"/>
            </w:pPr>
            <w:r w:rsidRPr="00E9221F">
              <w:t>relevant sustainable energy practices</w:t>
            </w:r>
          </w:p>
          <w:p w:rsidR="00000000" w:rsidRPr="00E9221F" w:rsidP="00E9221F">
            <w:pPr>
              <w:pStyle w:val="ListBullet"/>
            </w:pPr>
            <w:r w:rsidRPr="00E9221F">
              <w:t>relevant tools, equipment, resources and materials</w:t>
            </w:r>
          </w:p>
          <w:p w:rsidR="00000000" w:rsidRPr="00E9221F" w:rsidP="00E9221F">
            <w:pPr>
              <w:pStyle w:val="ListBullet"/>
            </w:pPr>
            <w:r w:rsidRPr="00E9221F">
              <w:t>relevant WHS/OHS legislated requirements</w:t>
            </w:r>
          </w:p>
          <w:p w:rsidR="00000000" w:rsidRPr="00E9221F" w:rsidP="00E9221F">
            <w:pPr>
              <w:pStyle w:val="ListBullet"/>
            </w:pPr>
            <w:r w:rsidRPr="00E9221F">
              <w:t>relevant workplace documentation</w:t>
            </w:r>
          </w:p>
          <w:p w:rsidR="00000000" w:rsidRPr="00E9221F" w:rsidP="00E9221F">
            <w:pPr>
              <w:pStyle w:val="ListBullet"/>
            </w:pPr>
            <w:r w:rsidRPr="00E9221F">
              <w:t>relevant workplace policies, procedures and instructions.</w:t>
            </w:r>
          </w:p>
        </w:tc>
      </w:tr>
    </w:tbl>
    <w:p w:rsidR="00000000" w:rsidRPr="00E9221F" w:rsidP="00E9221F">
      <w:pPr>
        <w:pStyle w:val="NoPaddingFontSize1"/>
      </w:pPr>
    </w:p>
    <w:p w:rsidR="00000000" w:rsidRPr="00E9221F" w:rsidP="00E9221F">
      <w:pPr>
        <w:pStyle w:val="AllowPageBreak"/>
      </w:pPr>
    </w:p>
    <w:p w:rsidR="00000000" w:rsidRPr="00E9221F" w:rsidP="00E9221F">
      <w:pPr>
        <w:pStyle w:val="Heading1"/>
      </w:pPr>
      <w:bookmarkStart w:id="4" w:name="O_1288814"/>
      <w:bookmarkEnd w:id="4"/>
      <w:r w:rsidRPr="00E9221F">
        <w:t>Assessment Conditions</w:t>
      </w:r>
    </w:p>
    <w:tbl>
      <w:tblPr>
        <w:tblW w:w="9497" w:type="dxa"/>
        <w:tblLayout w:type="fixed"/>
        <w:tblCellMar>
          <w:left w:w="62" w:type="dxa"/>
          <w:right w:w="62" w:type="dxa"/>
        </w:tblCellMar>
        <w:tblLook w:val="0000"/>
      </w:tblPr>
      <w:tblGrid>
        <w:gridCol w:w="9497"/>
      </w:tblGrid>
      <w:tr w:rsidTr="00E92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21F" w:rsidP="00E9221F">
            <w:pPr>
              <w:pStyle w:val="BodyText"/>
            </w:pPr>
            <w:r w:rsidRPr="00E9221F">
              <w:t xml:space="preserve">Assessors must hold credentials specified within the Standards for Registered Training Organisations current at the time of assessment. </w:t>
            </w:r>
          </w:p>
          <w:p w:rsidR="00000000" w:rsidRPr="00E9221F" w:rsidP="00E9221F">
            <w:pPr>
              <w:pStyle w:val="BodyText"/>
            </w:pPr>
            <w:r w:rsidRPr="00E9221F">
              <w:t>Assessment must sa</w:t>
            </w:r>
            <w:r w:rsidRPr="00E9221F">
              <w:t>tisfy the Principles of Assessment and Rules of Evidence and all regulatory requirements included within the Standards for Registered Training Organisations current at the time of assessment.</w:t>
            </w:r>
          </w:p>
          <w:p w:rsidR="00000000" w:rsidRPr="00E9221F" w:rsidP="00E9221F">
            <w:pPr>
              <w:pStyle w:val="BodyText"/>
            </w:pPr>
            <w:r w:rsidRPr="00E9221F">
              <w:t>Assessment must occur in suitable workplace operational situatio</w:t>
            </w:r>
            <w:r w:rsidRPr="00E9221F">
              <w:t>ns where it is appropriate to do so; where this is not appropriate, assessment must occur in simulated suitable workplace operational situations that replicate workplace conditions.</w:t>
            </w:r>
          </w:p>
          <w:p w:rsidR="00000000" w:rsidRPr="00E9221F" w:rsidP="00E9221F">
            <w:pPr>
              <w:pStyle w:val="BodyText"/>
            </w:pPr>
            <w:r w:rsidRPr="00E9221F">
              <w:t>Assessment processes and techniques must be appropriate to the language, l</w:t>
            </w:r>
            <w:r w:rsidRPr="00E9221F">
              <w:t>iteracy and numeracy requirements of the work being performed and the needs of the candidate.</w:t>
            </w:r>
          </w:p>
          <w:p w:rsidR="00000000" w:rsidRPr="00E9221F" w:rsidP="00E9221F">
            <w:pPr>
              <w:pStyle w:val="BodyText"/>
            </w:pPr>
            <w:r w:rsidRPr="00E9221F">
              <w:t>Resources for assessment must include access to:</w:t>
            </w:r>
          </w:p>
          <w:p w:rsidR="00000000" w:rsidRPr="00E9221F" w:rsidP="00E9221F">
            <w:pPr>
              <w:pStyle w:val="ListBullet"/>
            </w:pPr>
            <w:r w:rsidRPr="00E9221F">
              <w:t>a range of relevant exercises, case studies and/or simulations</w:t>
            </w:r>
          </w:p>
          <w:p w:rsidR="00000000" w:rsidRPr="00E9221F" w:rsidP="00E9221F">
            <w:pPr>
              <w:pStyle w:val="ListBullet"/>
            </w:pPr>
            <w:r w:rsidRPr="00E9221F">
              <w:t>relevant and appropriate materials, tools, facili</w:t>
            </w:r>
            <w:r w:rsidRPr="00E9221F">
              <w:t xml:space="preserve">ties, equipment and personal protective equipment (PPE) currently used in industry </w:t>
            </w:r>
          </w:p>
          <w:p w:rsidR="00000000" w:rsidRPr="00E9221F" w:rsidP="00E9221F">
            <w:pPr>
              <w:pStyle w:val="ListBullet"/>
            </w:pPr>
            <w:r w:rsidRPr="00E9221F">
              <w:t>applicable documentation, including workplace procedures, equipment specifications, regulations, relevant industry standards, codes of practice and operation manuals.</w:t>
            </w:r>
          </w:p>
        </w:tc>
      </w:tr>
    </w:tbl>
    <w:p w:rsidR="00000000" w:rsidRPr="00E9221F" w:rsidP="00E9221F">
      <w:pPr>
        <w:pStyle w:val="NoPaddingFontSize1"/>
      </w:pPr>
    </w:p>
    <w:p w:rsidR="00000000" w:rsidRPr="00E9221F" w:rsidP="00E9221F">
      <w:pPr>
        <w:pStyle w:val="AllowPageBreak"/>
      </w:pPr>
    </w:p>
    <w:p w:rsidR="00000000" w:rsidRPr="00E9221F" w:rsidP="00E9221F">
      <w:pPr>
        <w:pStyle w:val="Heading1"/>
      </w:pPr>
      <w:bookmarkStart w:id="5" w:name="O_1288829"/>
      <w:bookmarkEnd w:id="5"/>
      <w:r w:rsidRPr="00E9221F">
        <w:t>Links</w:t>
      </w:r>
    </w:p>
    <w:p w:rsidR="00000000" w:rsidRPr="00E9221F" w:rsidP="00D3073D">
      <w:pPr>
        <w:pStyle w:val="BodyText"/>
      </w:pPr>
      <w:r w:rsidRPr="00E922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44CD">
        <w:rPr>
          <w:rStyle w:val="Hyperlink"/>
        </w:rPr>
        <w:t>https://vetnet.gov.au/Pages/TrainingDocs.aspx?q=b8a8f136-5421-4ce1-92e0-2b50341431b6</w:t>
      </w:r>
      <w:r>
        <w:fldChar w:fldCharType="end"/>
      </w:r>
    </w:p>
    <w:p w:rsidR="00000000" w:rsidRPr="00E9221F" w:rsidP="00E9221F"/>
    <w:sectPr w:rsidSect="00E922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1F" w:rsidRPr="00D3073D" w:rsidP="00D30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3D" w:rsidP="00E92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73D" w:rsidP="00E922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073D" w:rsidP="00E92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21F" w:rsidRPr="00D3073D" w:rsidP="00D307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3D" w:rsidRPr="002D2AF8" w:rsidP="00E9221F">
    <w:pPr>
      <w:pStyle w:val="Header"/>
      <w:framePr w:wrap="around"/>
    </w:pPr>
    <w:r>
      <w:fldChar w:fldCharType="begin"/>
    </w:r>
    <w:r>
      <w:instrText xml:space="preserve"> TITLE   \* MERGEFORMAT </w:instrText>
    </w:r>
    <w:r>
      <w:fldChar w:fldCharType="separate"/>
    </w:r>
    <w:r>
      <w:t>Assessment Requirements for UEEEL0027 Carry out low voltage electrical field testing and report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D3073D" w:rsidP="00E92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8D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3EC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C5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21F"/>
    <w:pPr>
      <w:spacing w:before="360" w:after="60"/>
      <w:outlineLvl w:val="0"/>
    </w:pPr>
    <w:rPr>
      <w:sz w:val="32"/>
    </w:rPr>
  </w:style>
  <w:style w:type="paragraph" w:styleId="Heading2">
    <w:name w:val="heading 2"/>
    <w:basedOn w:val="HeadingBase"/>
    <w:next w:val="BodyText"/>
    <w:link w:val="Heading2Char"/>
    <w:qFormat/>
    <w:rsid w:val="00E9221F"/>
    <w:pPr>
      <w:keepLines/>
      <w:spacing w:before="240" w:after="120"/>
      <w:outlineLvl w:val="1"/>
    </w:pPr>
    <w:rPr>
      <w:sz w:val="28"/>
      <w:szCs w:val="40"/>
    </w:rPr>
  </w:style>
  <w:style w:type="paragraph" w:styleId="Heading3">
    <w:name w:val="heading 3"/>
    <w:basedOn w:val="HeadingBase"/>
    <w:next w:val="BodyText"/>
    <w:link w:val="Heading3Char"/>
    <w:qFormat/>
    <w:rsid w:val="00E9221F"/>
    <w:pPr>
      <w:spacing w:before="180" w:after="120"/>
      <w:outlineLvl w:val="2"/>
    </w:pPr>
    <w:rPr>
      <w:spacing w:val="-10"/>
      <w:kern w:val="32"/>
    </w:rPr>
  </w:style>
  <w:style w:type="paragraph" w:styleId="Heading4">
    <w:name w:val="heading 4"/>
    <w:basedOn w:val="HeadingBase"/>
    <w:next w:val="BodyText"/>
    <w:link w:val="Heading4Char"/>
    <w:qFormat/>
    <w:rsid w:val="00E9221F"/>
    <w:pPr>
      <w:spacing w:before="160" w:after="120"/>
      <w:outlineLvl w:val="3"/>
    </w:pPr>
    <w:rPr>
      <w:sz w:val="22"/>
    </w:rPr>
  </w:style>
  <w:style w:type="paragraph" w:styleId="Heading5">
    <w:name w:val="heading 5"/>
    <w:basedOn w:val="HeadingBase"/>
    <w:next w:val="Normal"/>
    <w:link w:val="Heading5Char"/>
    <w:qFormat/>
    <w:rsid w:val="00E9221F"/>
    <w:pPr>
      <w:spacing w:before="80"/>
      <w:outlineLvl w:val="4"/>
    </w:pPr>
    <w:rPr>
      <w:color w:val="918585"/>
      <w:sz w:val="20"/>
    </w:rPr>
  </w:style>
  <w:style w:type="paragraph" w:styleId="Heading6">
    <w:name w:val="heading 6"/>
    <w:basedOn w:val="HeadingBase"/>
    <w:next w:val="Normal"/>
    <w:link w:val="Heading6Char"/>
    <w:qFormat/>
    <w:rsid w:val="00E9221F"/>
    <w:pPr>
      <w:spacing w:before="60"/>
      <w:outlineLvl w:val="5"/>
    </w:pPr>
    <w:rPr>
      <w:color w:val="918585"/>
      <w:sz w:val="20"/>
    </w:rPr>
  </w:style>
  <w:style w:type="paragraph" w:styleId="Heading7">
    <w:name w:val="heading 7"/>
    <w:basedOn w:val="Normal"/>
    <w:next w:val="Normal"/>
    <w:link w:val="Heading7Char"/>
    <w:qFormat/>
    <w:rsid w:val="00E9221F"/>
    <w:pPr>
      <w:ind w:left="720"/>
      <w:outlineLvl w:val="6"/>
    </w:pPr>
    <w:rPr>
      <w:i/>
    </w:rPr>
  </w:style>
  <w:style w:type="paragraph" w:styleId="Heading8">
    <w:name w:val="heading 8"/>
    <w:basedOn w:val="Normal"/>
    <w:next w:val="Normal"/>
    <w:link w:val="Heading8Char"/>
    <w:qFormat/>
    <w:rsid w:val="00E9221F"/>
    <w:pPr>
      <w:ind w:left="720"/>
      <w:outlineLvl w:val="7"/>
    </w:pPr>
    <w:rPr>
      <w:i/>
    </w:rPr>
  </w:style>
  <w:style w:type="paragraph" w:styleId="Heading9">
    <w:name w:val="heading 9"/>
    <w:basedOn w:val="Normal"/>
    <w:next w:val="Normal"/>
    <w:link w:val="Heading9Char"/>
    <w:qFormat/>
    <w:rsid w:val="00E9221F"/>
    <w:pPr>
      <w:ind w:left="720"/>
      <w:outlineLvl w:val="8"/>
    </w:pPr>
    <w:rPr>
      <w:i/>
    </w:rPr>
  </w:style>
  <w:style w:type="character" w:default="1" w:styleId="DefaultParagraphFont">
    <w:name w:val="Default Paragraph Font"/>
    <w:uiPriority w:val="1"/>
    <w:unhideWhenUsed/>
    <w:rsid w:val="00E92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21F"/>
  </w:style>
  <w:style w:type="character" w:customStyle="1" w:styleId="Heading1Char">
    <w:name w:val="Heading 1 Char"/>
    <w:basedOn w:val="DefaultParagraphFont"/>
    <w:link w:val="Heading1"/>
    <w:rsid w:val="00E9221F"/>
    <w:rPr>
      <w:rFonts w:ascii="Times New Roman" w:eastAsia="Times New Roman" w:hAnsi="Times New Roman" w:cs="Times New Roman"/>
      <w:b/>
      <w:sz w:val="32"/>
      <w:szCs w:val="20"/>
      <w:lang w:eastAsia="en-US"/>
    </w:rPr>
  </w:style>
  <w:style w:type="paragraph" w:styleId="BodyText">
    <w:name w:val="Body Text"/>
    <w:basedOn w:val="Normal"/>
    <w:link w:val="BodyTextChar"/>
    <w:rsid w:val="00E92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21F"/>
    <w:rPr>
      <w:rFonts w:ascii="Times New Roman" w:eastAsia="Times New Roman" w:hAnsi="Times New Roman" w:cs="Times New Roman"/>
      <w:sz w:val="24"/>
      <w:lang w:eastAsia="en-US"/>
    </w:rPr>
  </w:style>
  <w:style w:type="paragraph" w:styleId="ListBullet">
    <w:name w:val="List Bullet"/>
    <w:basedOn w:val="List"/>
    <w:rsid w:val="00E9221F"/>
    <w:pPr>
      <w:numPr>
        <w:numId w:val="12"/>
      </w:numPr>
      <w:tabs>
        <w:tab w:val="clear" w:pos="340"/>
      </w:tabs>
      <w:spacing w:before="40" w:after="40"/>
    </w:pPr>
  </w:style>
  <w:style w:type="paragraph" w:styleId="ListBullet2">
    <w:name w:val="List Bullet 2"/>
    <w:basedOn w:val="List2"/>
    <w:rsid w:val="00E9221F"/>
    <w:pPr>
      <w:numPr>
        <w:numId w:val="13"/>
      </w:numPr>
      <w:tabs>
        <w:tab w:val="clear" w:pos="680"/>
      </w:tabs>
    </w:pPr>
  </w:style>
  <w:style w:type="paragraph" w:customStyle="1" w:styleId="SuperHeading">
    <w:name w:val="SuperHeading"/>
    <w:basedOn w:val="Normal"/>
    <w:rsid w:val="00E9221F"/>
    <w:pPr>
      <w:spacing w:before="240" w:after="120"/>
      <w:outlineLvl w:val="0"/>
    </w:pPr>
    <w:rPr>
      <w:rFonts w:ascii="Times New Roman" w:hAnsi="Times New Roman"/>
      <w:b/>
      <w:sz w:val="32"/>
    </w:rPr>
  </w:style>
  <w:style w:type="paragraph" w:customStyle="1" w:styleId="AllowPageBreak">
    <w:name w:val="AllowPageBreak"/>
    <w:rsid w:val="00E922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21F"/>
    <w:rPr>
      <w:rFonts w:ascii="Courier New" w:eastAsia="Times New Roman" w:hAnsi="Courier New" w:cs="Times New Roman"/>
      <w:i/>
      <w:szCs w:val="20"/>
      <w:lang w:eastAsia="en-US"/>
    </w:rPr>
  </w:style>
  <w:style w:type="paragraph" w:customStyle="1" w:styleId="HeadingBase">
    <w:name w:val="Heading Base"/>
    <w:rsid w:val="00E92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21F"/>
    <w:pPr>
      <w:tabs>
        <w:tab w:val="right" w:leader="dot" w:pos="9072"/>
      </w:tabs>
      <w:ind w:left="567"/>
    </w:pPr>
    <w:rPr>
      <w:szCs w:val="22"/>
    </w:rPr>
  </w:style>
  <w:style w:type="paragraph" w:customStyle="1" w:styleId="TOCBase">
    <w:name w:val="TOC Base"/>
    <w:rsid w:val="00E92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21F"/>
    <w:pPr>
      <w:tabs>
        <w:tab w:val="right" w:leader="dot" w:pos="9072"/>
      </w:tabs>
      <w:spacing w:before="40" w:after="40"/>
      <w:ind w:left="284"/>
    </w:pPr>
    <w:rPr>
      <w:rFonts w:ascii="Times New Roman" w:hAnsi="Times New Roman"/>
    </w:rPr>
  </w:style>
  <w:style w:type="paragraph" w:styleId="TOC1">
    <w:name w:val="toc 1"/>
    <w:basedOn w:val="TOCBase"/>
    <w:next w:val="Normal"/>
    <w:rsid w:val="00E92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21F"/>
    <w:rPr>
      <w:rFonts w:ascii="Times New Roman" w:eastAsia="Times New Roman" w:hAnsi="Times New Roman" w:cs="Times New Roman"/>
      <w:sz w:val="16"/>
      <w:lang w:eastAsia="en-US"/>
    </w:rPr>
  </w:style>
  <w:style w:type="paragraph" w:styleId="Title">
    <w:name w:val="Title"/>
    <w:basedOn w:val="HeadingBase"/>
    <w:link w:val="TitleChar"/>
    <w:qFormat/>
    <w:rsid w:val="00E9221F"/>
    <w:pPr>
      <w:spacing w:before="5040"/>
      <w:jc w:val="center"/>
    </w:pPr>
    <w:rPr>
      <w:sz w:val="48"/>
      <w:szCs w:val="72"/>
      <w:lang w:val="en-US"/>
    </w:rPr>
  </w:style>
  <w:style w:type="character" w:customStyle="1" w:styleId="TitleChar">
    <w:name w:val="Title Char"/>
    <w:basedOn w:val="DefaultParagraphFont"/>
    <w:link w:val="Title"/>
    <w:rsid w:val="00E92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21F"/>
    <w:pPr>
      <w:tabs>
        <w:tab w:val="left" w:pos="3600"/>
        <w:tab w:val="left" w:pos="3958"/>
      </w:tabs>
    </w:pPr>
  </w:style>
  <w:style w:type="paragraph" w:styleId="List">
    <w:name w:val="List"/>
    <w:basedOn w:val="BodyText"/>
    <w:next w:val="BodyText"/>
    <w:rsid w:val="00E9221F"/>
    <w:pPr>
      <w:tabs>
        <w:tab w:val="left" w:pos="340"/>
      </w:tabs>
      <w:spacing w:before="60" w:after="60"/>
      <w:ind w:left="340" w:hanging="340"/>
    </w:pPr>
  </w:style>
  <w:style w:type="paragraph" w:customStyle="1" w:styleId="Note">
    <w:name w:val="Note"/>
    <w:basedOn w:val="BodyText"/>
    <w:rsid w:val="00E922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221F"/>
    <w:rPr>
      <w:b/>
      <w:spacing w:val="0"/>
    </w:rPr>
  </w:style>
  <w:style w:type="paragraph" w:customStyle="1" w:styleId="SuperTitle">
    <w:name w:val="SuperTitle"/>
    <w:basedOn w:val="Title"/>
    <w:rsid w:val="00E9221F"/>
    <w:pPr>
      <w:framePr w:wrap="auto" w:hAnchor="text" w:y="6049"/>
    </w:pPr>
    <w:rPr>
      <w:color w:val="000000"/>
      <w:sz w:val="40"/>
    </w:rPr>
  </w:style>
  <w:style w:type="paragraph" w:customStyle="1" w:styleId="TOCTitle">
    <w:name w:val="TOCTitle"/>
    <w:basedOn w:val="Heading1"/>
    <w:rsid w:val="00E9221F"/>
    <w:pPr>
      <w:spacing w:after="240"/>
      <w:jc w:val="center"/>
      <w:outlineLvl w:val="9"/>
    </w:pPr>
    <w:rPr>
      <w:caps/>
    </w:rPr>
  </w:style>
  <w:style w:type="paragraph" w:customStyle="1" w:styleId="Version">
    <w:name w:val="Version"/>
    <w:rsid w:val="00E92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21F"/>
    <w:pPr>
      <w:keepNext w:val="0"/>
      <w:tabs>
        <w:tab w:val="right" w:pos="4176"/>
      </w:tabs>
      <w:ind w:left="198" w:hanging="198"/>
    </w:pPr>
    <w:rPr>
      <w:rFonts w:ascii="Garamond" w:hAnsi="Garamond"/>
    </w:rPr>
  </w:style>
  <w:style w:type="paragraph" w:styleId="IndexHeading">
    <w:name w:val="index heading"/>
    <w:basedOn w:val="Normal"/>
    <w:next w:val="Index1"/>
    <w:semiHidden/>
    <w:rsid w:val="00E9221F"/>
    <w:pPr>
      <w:spacing w:before="120" w:after="120"/>
    </w:pPr>
    <w:rPr>
      <w:rFonts w:ascii="Arial" w:hAnsi="Arial"/>
      <w:b/>
      <w:color w:val="918585"/>
      <w:sz w:val="24"/>
    </w:rPr>
  </w:style>
  <w:style w:type="paragraph" w:styleId="Header">
    <w:name w:val="header"/>
    <w:basedOn w:val="Normal"/>
    <w:link w:val="HeaderChar"/>
    <w:rsid w:val="00E92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21F"/>
    <w:rPr>
      <w:rFonts w:ascii="Times New Roman" w:eastAsia="Times New Roman" w:hAnsi="Times New Roman" w:cs="Times New Roman"/>
      <w:sz w:val="16"/>
      <w:szCs w:val="20"/>
      <w:lang w:val="en-GB" w:eastAsia="en-US"/>
    </w:rPr>
  </w:style>
  <w:style w:type="paragraph" w:customStyle="1" w:styleId="Chapter">
    <w:name w:val="Chapter"/>
    <w:basedOn w:val="Normal"/>
    <w:rsid w:val="00E9221F"/>
    <w:pPr>
      <w:spacing w:before="240"/>
    </w:pPr>
    <w:rPr>
      <w:rFonts w:ascii="Times New Roman" w:hAnsi="Times New Roman"/>
      <w:smallCaps/>
      <w:spacing w:val="80"/>
      <w:sz w:val="28"/>
    </w:rPr>
  </w:style>
  <w:style w:type="paragraph" w:customStyle="1" w:styleId="InChapter">
    <w:name w:val="InChapter"/>
    <w:basedOn w:val="Heading3"/>
    <w:rsid w:val="00E9221F"/>
    <w:pPr>
      <w:spacing w:after="240"/>
      <w:outlineLvl w:val="9"/>
    </w:pPr>
    <w:rPr>
      <w:noProof/>
    </w:rPr>
  </w:style>
  <w:style w:type="paragraph" w:styleId="Index2">
    <w:name w:val="index 2"/>
    <w:basedOn w:val="Normal"/>
    <w:next w:val="Normal"/>
    <w:semiHidden/>
    <w:rsid w:val="00E9221F"/>
    <w:pPr>
      <w:tabs>
        <w:tab w:val="right" w:pos="4176"/>
      </w:tabs>
      <w:ind w:left="568" w:hanging="284"/>
    </w:pPr>
    <w:rPr>
      <w:rFonts w:ascii="Garamond" w:hAnsi="Garamond"/>
    </w:rPr>
  </w:style>
  <w:style w:type="paragraph" w:customStyle="1" w:styleId="Byline">
    <w:name w:val="Byline"/>
    <w:rsid w:val="00E92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21F"/>
    <w:pPr>
      <w:tabs>
        <w:tab w:val="clear" w:pos="3600"/>
        <w:tab w:val="clear" w:pos="3958"/>
      </w:tabs>
      <w:jc w:val="right"/>
    </w:pPr>
  </w:style>
  <w:style w:type="character" w:styleId="Emphasis">
    <w:name w:val="Emphasis"/>
    <w:basedOn w:val="DefaultParagraphFont"/>
    <w:qFormat/>
    <w:rsid w:val="00E9221F"/>
    <w:rPr>
      <w:i/>
    </w:rPr>
  </w:style>
  <w:style w:type="paragraph" w:styleId="Caption">
    <w:name w:val="caption"/>
    <w:basedOn w:val="BodyText"/>
    <w:next w:val="Normal"/>
    <w:qFormat/>
    <w:rsid w:val="00E9221F"/>
    <w:pPr>
      <w:framePr w:w="2268" w:hSpace="181" w:vSpace="181" w:wrap="around" w:vAnchor="text" w:hAnchor="page" w:x="1135" w:y="285" w:anchorLock="1"/>
    </w:pPr>
    <w:rPr>
      <w:i/>
    </w:rPr>
  </w:style>
  <w:style w:type="paragraph" w:customStyle="1" w:styleId="MiniTOCTitle">
    <w:name w:val="MiniTOCTitle"/>
    <w:basedOn w:val="Heading4"/>
    <w:rsid w:val="00E9221F"/>
    <w:pPr>
      <w:spacing w:before="240"/>
      <w:outlineLvl w:val="9"/>
    </w:pPr>
    <w:rPr>
      <w:noProof/>
      <w:sz w:val="24"/>
    </w:rPr>
  </w:style>
  <w:style w:type="paragraph" w:customStyle="1" w:styleId="MiniTOCItem">
    <w:name w:val="MiniTOCItem"/>
    <w:basedOn w:val="ListBullet"/>
    <w:rsid w:val="00E9221F"/>
    <w:pPr>
      <w:numPr>
        <w:numId w:val="0"/>
      </w:numPr>
      <w:tabs>
        <w:tab w:val="right" w:leader="dot" w:pos="6521"/>
      </w:tabs>
      <w:spacing w:before="0" w:after="0"/>
    </w:pPr>
  </w:style>
  <w:style w:type="paragraph" w:customStyle="1" w:styleId="TOFTitle">
    <w:name w:val="TOFTitle"/>
    <w:basedOn w:val="TOCTitle"/>
    <w:rsid w:val="00E9221F"/>
  </w:style>
  <w:style w:type="paragraph" w:styleId="TableofFigures">
    <w:name w:val="table of figures"/>
    <w:basedOn w:val="Normal"/>
    <w:next w:val="Normal"/>
    <w:semiHidden/>
    <w:rsid w:val="00E9221F"/>
    <w:pPr>
      <w:tabs>
        <w:tab w:val="right" w:leader="dot" w:pos="9072"/>
      </w:tabs>
      <w:ind w:left="970" w:hanging="403"/>
    </w:pPr>
    <w:rPr>
      <w:rFonts w:ascii="Times New Roman" w:hAnsi="Times New Roman"/>
      <w:b/>
    </w:rPr>
  </w:style>
  <w:style w:type="paragraph" w:styleId="ListNumber">
    <w:name w:val="List Number"/>
    <w:basedOn w:val="List"/>
    <w:rsid w:val="00E9221F"/>
    <w:pPr>
      <w:numPr>
        <w:numId w:val="15"/>
      </w:numPr>
      <w:tabs>
        <w:tab w:val="clear" w:pos="340"/>
      </w:tabs>
    </w:pPr>
  </w:style>
  <w:style w:type="character" w:customStyle="1" w:styleId="WingdingSymbols">
    <w:name w:val="Wingding Symbols"/>
    <w:rsid w:val="00E9221F"/>
    <w:rPr>
      <w:rFonts w:ascii="Wingdings" w:hAnsi="Wingdings"/>
    </w:rPr>
  </w:style>
  <w:style w:type="paragraph" w:customStyle="1" w:styleId="TableHeading">
    <w:name w:val="Table Heading"/>
    <w:basedOn w:val="HeadingBase"/>
    <w:rsid w:val="00E9221F"/>
    <w:pPr>
      <w:keepLines/>
      <w:pBdr>
        <w:bottom w:val="single" w:sz="6" w:space="1" w:color="918585"/>
      </w:pBdr>
      <w:spacing w:before="240"/>
    </w:pPr>
  </w:style>
  <w:style w:type="character" w:customStyle="1" w:styleId="HotSpot">
    <w:name w:val="HotSpot"/>
    <w:rsid w:val="00E9221F"/>
    <w:rPr>
      <w:color w:val="0033CC"/>
      <w:u w:val="none"/>
    </w:rPr>
  </w:style>
  <w:style w:type="paragraph" w:customStyle="1" w:styleId="BodyTextRight">
    <w:name w:val="Body Text Right"/>
    <w:basedOn w:val="BodyText"/>
    <w:rsid w:val="00E9221F"/>
    <w:pPr>
      <w:spacing w:before="0" w:after="0"/>
      <w:jc w:val="right"/>
    </w:pPr>
  </w:style>
  <w:style w:type="paragraph" w:styleId="Index3">
    <w:name w:val="index 3"/>
    <w:basedOn w:val="ListNumber2"/>
    <w:next w:val="Normal"/>
    <w:semiHidden/>
    <w:rsid w:val="00E9221F"/>
    <w:pPr>
      <w:numPr>
        <w:numId w:val="0"/>
      </w:numPr>
      <w:tabs>
        <w:tab w:val="right" w:leader="dot" w:pos="4176"/>
      </w:tabs>
    </w:pPr>
  </w:style>
  <w:style w:type="paragraph" w:styleId="ListNumber2">
    <w:name w:val="List Number 2"/>
    <w:basedOn w:val="List2"/>
    <w:rsid w:val="00E9221F"/>
    <w:pPr>
      <w:numPr>
        <w:numId w:val="10"/>
      </w:numPr>
      <w:tabs>
        <w:tab w:val="clear" w:pos="1060"/>
      </w:tabs>
    </w:pPr>
  </w:style>
  <w:style w:type="paragraph" w:customStyle="1" w:styleId="MarginNote">
    <w:name w:val="Margin Note"/>
    <w:basedOn w:val="BodyText"/>
    <w:rsid w:val="00E92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21F"/>
    <w:rPr>
      <w:sz w:val="32"/>
    </w:rPr>
  </w:style>
  <w:style w:type="paragraph" w:customStyle="1" w:styleId="HeadingProcedure">
    <w:name w:val="Heading Procedure"/>
    <w:basedOn w:val="HeadingBase"/>
    <w:next w:val="Normal"/>
    <w:rsid w:val="00E9221F"/>
    <w:pPr>
      <w:tabs>
        <w:tab w:val="left" w:pos="0"/>
      </w:tabs>
      <w:spacing w:before="120" w:after="60"/>
    </w:pPr>
    <w:rPr>
      <w:i/>
      <w:color w:val="918585"/>
      <w:sz w:val="22"/>
    </w:rPr>
  </w:style>
  <w:style w:type="paragraph" w:customStyle="1" w:styleId="TableBodyText">
    <w:name w:val="Table Body Text"/>
    <w:basedOn w:val="BodyText"/>
    <w:rsid w:val="00E9221F"/>
    <w:pPr>
      <w:spacing w:before="60" w:after="60"/>
    </w:pPr>
  </w:style>
  <w:style w:type="paragraph" w:styleId="ListContinue">
    <w:name w:val="List Continue"/>
    <w:basedOn w:val="List"/>
    <w:rsid w:val="00E9221F"/>
    <w:pPr>
      <w:ind w:firstLine="0"/>
    </w:pPr>
  </w:style>
  <w:style w:type="paragraph" w:customStyle="1" w:styleId="ListNote">
    <w:name w:val="List Note"/>
    <w:basedOn w:val="List"/>
    <w:rsid w:val="00E9221F"/>
    <w:pPr>
      <w:pBdr>
        <w:top w:val="single" w:sz="6" w:space="2" w:color="918585"/>
        <w:bottom w:val="single" w:sz="6" w:space="2" w:color="918585"/>
      </w:pBdr>
      <w:tabs>
        <w:tab w:val="left" w:pos="1021"/>
      </w:tabs>
      <w:ind w:firstLine="0"/>
    </w:pPr>
  </w:style>
  <w:style w:type="paragraph" w:customStyle="1" w:styleId="Warning">
    <w:name w:val="Warning"/>
    <w:basedOn w:val="BodyText"/>
    <w:rsid w:val="00E9221F"/>
    <w:pPr>
      <w:shd w:val="clear" w:color="auto" w:fill="D9D9D9"/>
      <w:tabs>
        <w:tab w:val="left" w:pos="992"/>
      </w:tabs>
      <w:ind w:left="119" w:right="119"/>
    </w:pPr>
    <w:rPr>
      <w:sz w:val="20"/>
    </w:rPr>
  </w:style>
  <w:style w:type="paragraph" w:customStyle="1" w:styleId="MarginIcons">
    <w:name w:val="Margin Icons"/>
    <w:basedOn w:val="BodyText"/>
    <w:rsid w:val="00E92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21F"/>
    <w:rPr>
      <w:rFonts w:ascii="Courier New" w:hAnsi="Courier New"/>
    </w:rPr>
  </w:style>
  <w:style w:type="paragraph" w:customStyle="1" w:styleId="NoteBullet">
    <w:name w:val="Note Bullet"/>
    <w:basedOn w:val="Note"/>
    <w:rsid w:val="00E9221F"/>
    <w:pPr>
      <w:tabs>
        <w:tab w:val="clear" w:pos="680"/>
      </w:tabs>
      <w:spacing w:before="60" w:after="60"/>
    </w:pPr>
  </w:style>
  <w:style w:type="paragraph" w:customStyle="1" w:styleId="SubHeading2">
    <w:name w:val="SubHeading2"/>
    <w:basedOn w:val="HeadingBase"/>
    <w:rsid w:val="00E9221F"/>
    <w:pPr>
      <w:spacing w:before="240" w:after="60"/>
    </w:pPr>
    <w:rPr>
      <w:sz w:val="20"/>
    </w:rPr>
  </w:style>
  <w:style w:type="paragraph" w:customStyle="1" w:styleId="SubHeading1">
    <w:name w:val="SubHeading1"/>
    <w:basedOn w:val="HeadingBase"/>
    <w:rsid w:val="00E9221F"/>
    <w:pPr>
      <w:spacing w:before="240" w:after="60"/>
    </w:pPr>
    <w:rPr>
      <w:color w:val="918585"/>
      <w:sz w:val="22"/>
    </w:rPr>
  </w:style>
  <w:style w:type="paragraph" w:customStyle="1" w:styleId="SideHeading">
    <w:name w:val="Side Heading"/>
    <w:basedOn w:val="HeadingBase"/>
    <w:rsid w:val="00E92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21F"/>
    <w:pPr>
      <w:tabs>
        <w:tab w:val="num" w:pos="360"/>
      </w:tabs>
    </w:pPr>
  </w:style>
  <w:style w:type="paragraph" w:styleId="PlainText">
    <w:name w:val="Plain Text"/>
    <w:basedOn w:val="Normal"/>
    <w:link w:val="PlainTextChar"/>
    <w:rsid w:val="00E9221F"/>
    <w:rPr>
      <w:sz w:val="20"/>
    </w:rPr>
  </w:style>
  <w:style w:type="character" w:customStyle="1" w:styleId="PlainTextChar">
    <w:name w:val="Plain Text Char"/>
    <w:basedOn w:val="DefaultParagraphFont"/>
    <w:link w:val="PlainText"/>
    <w:rsid w:val="00E9221F"/>
    <w:rPr>
      <w:rFonts w:ascii="Courier New" w:eastAsia="Times New Roman" w:hAnsi="Courier New" w:cs="Times New Roman"/>
      <w:sz w:val="20"/>
      <w:szCs w:val="20"/>
      <w:lang w:eastAsia="en-US"/>
    </w:rPr>
  </w:style>
  <w:style w:type="character" w:customStyle="1" w:styleId="MenuOption">
    <w:name w:val="Menu Option"/>
    <w:basedOn w:val="DefaultParagraphFont"/>
    <w:rsid w:val="00E9221F"/>
    <w:rPr>
      <w:b/>
      <w:smallCaps/>
    </w:rPr>
  </w:style>
  <w:style w:type="paragraph" w:customStyle="1" w:styleId="TableListNumber">
    <w:name w:val="Table List Number"/>
    <w:basedOn w:val="ListNumber"/>
    <w:rsid w:val="00E9221F"/>
    <w:pPr>
      <w:numPr>
        <w:numId w:val="0"/>
      </w:numPr>
    </w:pPr>
  </w:style>
  <w:style w:type="paragraph" w:styleId="TOC4">
    <w:name w:val="toc 4"/>
    <w:basedOn w:val="TOCBase"/>
    <w:next w:val="Normal"/>
    <w:semiHidden/>
    <w:rsid w:val="00E9221F"/>
    <w:pPr>
      <w:tabs>
        <w:tab w:val="right" w:leader="dot" w:pos="9071"/>
      </w:tabs>
      <w:ind w:left="1701"/>
    </w:pPr>
  </w:style>
  <w:style w:type="paragraph" w:customStyle="1" w:styleId="ListAlpha">
    <w:name w:val="List Alpha"/>
    <w:basedOn w:val="List"/>
    <w:rsid w:val="00E9221F"/>
    <w:pPr>
      <w:numPr>
        <w:numId w:val="9"/>
      </w:numPr>
    </w:pPr>
  </w:style>
  <w:style w:type="paragraph" w:customStyle="1" w:styleId="ListAlpha2">
    <w:name w:val="List Alpha 2"/>
    <w:basedOn w:val="List2"/>
    <w:rsid w:val="00E9221F"/>
    <w:pPr>
      <w:numPr>
        <w:numId w:val="8"/>
      </w:numPr>
    </w:pPr>
  </w:style>
  <w:style w:type="paragraph" w:styleId="List2">
    <w:name w:val="List 2"/>
    <w:basedOn w:val="BodyText"/>
    <w:rsid w:val="00E9221F"/>
    <w:pPr>
      <w:tabs>
        <w:tab w:val="left" w:pos="680"/>
      </w:tabs>
      <w:spacing w:before="60" w:after="60"/>
      <w:ind w:left="680" w:hanging="340"/>
    </w:pPr>
  </w:style>
  <w:style w:type="paragraph" w:styleId="List3">
    <w:name w:val="List 3"/>
    <w:basedOn w:val="BodyText"/>
    <w:rsid w:val="00E9221F"/>
    <w:pPr>
      <w:tabs>
        <w:tab w:val="left" w:pos="1021"/>
      </w:tabs>
      <w:spacing w:before="60" w:after="60"/>
      <w:ind w:left="1020" w:hanging="340"/>
    </w:pPr>
  </w:style>
  <w:style w:type="paragraph" w:styleId="List4">
    <w:name w:val="List 4"/>
    <w:basedOn w:val="BodyText"/>
    <w:rsid w:val="00E9221F"/>
    <w:pPr>
      <w:tabs>
        <w:tab w:val="left" w:pos="1361"/>
      </w:tabs>
      <w:spacing w:before="60" w:after="60"/>
      <w:ind w:left="1361" w:hanging="340"/>
    </w:pPr>
  </w:style>
  <w:style w:type="paragraph" w:styleId="List5">
    <w:name w:val="List 5"/>
    <w:basedOn w:val="BodyText"/>
    <w:rsid w:val="00E9221F"/>
    <w:pPr>
      <w:tabs>
        <w:tab w:val="left" w:pos="1701"/>
      </w:tabs>
      <w:spacing w:before="60" w:after="60"/>
      <w:ind w:left="1701" w:hanging="340"/>
    </w:pPr>
  </w:style>
  <w:style w:type="paragraph" w:styleId="ListBullet3">
    <w:name w:val="List Bullet 3"/>
    <w:basedOn w:val="List3"/>
    <w:rsid w:val="00E9221F"/>
    <w:pPr>
      <w:numPr>
        <w:numId w:val="14"/>
      </w:numPr>
      <w:tabs>
        <w:tab w:val="clear" w:pos="1021"/>
      </w:tabs>
      <w:ind w:left="1037" w:hanging="357"/>
    </w:pPr>
  </w:style>
  <w:style w:type="paragraph" w:styleId="ListBullet4">
    <w:name w:val="List Bullet 4"/>
    <w:basedOn w:val="List4"/>
    <w:rsid w:val="00E9221F"/>
    <w:pPr>
      <w:numPr>
        <w:numId w:val="3"/>
      </w:numPr>
      <w:tabs>
        <w:tab w:val="clear" w:pos="1361"/>
      </w:tabs>
    </w:pPr>
  </w:style>
  <w:style w:type="paragraph" w:styleId="ListBullet5">
    <w:name w:val="List Bullet 5"/>
    <w:basedOn w:val="List5"/>
    <w:rsid w:val="00E9221F"/>
    <w:pPr>
      <w:numPr>
        <w:numId w:val="4"/>
      </w:numPr>
    </w:pPr>
  </w:style>
  <w:style w:type="paragraph" w:styleId="ListContinue2">
    <w:name w:val="List Continue 2"/>
    <w:basedOn w:val="List2"/>
    <w:rsid w:val="00E9221F"/>
    <w:pPr>
      <w:ind w:firstLine="0"/>
    </w:pPr>
  </w:style>
  <w:style w:type="paragraph" w:styleId="ListContinue3">
    <w:name w:val="List Continue 3"/>
    <w:basedOn w:val="List3"/>
    <w:rsid w:val="00E9221F"/>
    <w:pPr>
      <w:ind w:left="1021" w:firstLine="0"/>
    </w:pPr>
  </w:style>
  <w:style w:type="paragraph" w:styleId="ListContinue4">
    <w:name w:val="List Continue 4"/>
    <w:basedOn w:val="List4"/>
    <w:rsid w:val="00E9221F"/>
    <w:pPr>
      <w:ind w:firstLine="0"/>
    </w:pPr>
  </w:style>
  <w:style w:type="paragraph" w:styleId="ListContinue5">
    <w:name w:val="List Continue 5"/>
    <w:basedOn w:val="List5"/>
    <w:rsid w:val="00E9221F"/>
    <w:pPr>
      <w:ind w:firstLine="0"/>
    </w:pPr>
  </w:style>
  <w:style w:type="paragraph" w:styleId="ListNumber3">
    <w:name w:val="List Number 3"/>
    <w:basedOn w:val="List3"/>
    <w:rsid w:val="00E9221F"/>
    <w:pPr>
      <w:numPr>
        <w:numId w:val="5"/>
      </w:numPr>
    </w:pPr>
  </w:style>
  <w:style w:type="paragraph" w:styleId="ListNumber4">
    <w:name w:val="List Number 4"/>
    <w:basedOn w:val="List4"/>
    <w:rsid w:val="00E9221F"/>
    <w:pPr>
      <w:numPr>
        <w:numId w:val="6"/>
      </w:numPr>
    </w:pPr>
  </w:style>
  <w:style w:type="paragraph" w:styleId="ListNumber5">
    <w:name w:val="List Number 5"/>
    <w:basedOn w:val="List5"/>
    <w:rsid w:val="00E9221F"/>
    <w:pPr>
      <w:numPr>
        <w:numId w:val="7"/>
      </w:numPr>
    </w:pPr>
  </w:style>
  <w:style w:type="paragraph" w:styleId="BlockText">
    <w:name w:val="Block Text"/>
    <w:basedOn w:val="Normal"/>
    <w:rsid w:val="00E9221F"/>
    <w:pPr>
      <w:spacing w:after="120"/>
      <w:ind w:left="1440" w:right="1440"/>
    </w:pPr>
  </w:style>
  <w:style w:type="character" w:customStyle="1" w:styleId="Subscript">
    <w:name w:val="Subscript"/>
    <w:basedOn w:val="DefaultParagraphFont"/>
    <w:rsid w:val="00E9221F"/>
    <w:rPr>
      <w:sz w:val="16"/>
      <w:vertAlign w:val="subscript"/>
    </w:rPr>
  </w:style>
  <w:style w:type="character" w:customStyle="1" w:styleId="Superscript">
    <w:name w:val="Superscript"/>
    <w:basedOn w:val="DefaultParagraphFont"/>
    <w:rsid w:val="00E9221F"/>
    <w:rPr>
      <w:sz w:val="16"/>
      <w:vertAlign w:val="superscript"/>
    </w:rPr>
  </w:style>
  <w:style w:type="character" w:customStyle="1" w:styleId="Symbols">
    <w:name w:val="Symbols"/>
    <w:basedOn w:val="DefaultParagraphFont"/>
    <w:rsid w:val="00E9221F"/>
    <w:rPr>
      <w:rFonts w:ascii="Symbol" w:hAnsi="Symbol"/>
    </w:rPr>
  </w:style>
  <w:style w:type="character" w:customStyle="1" w:styleId="MenuOptions">
    <w:name w:val="Menu Options"/>
    <w:basedOn w:val="DefaultParagraphFont"/>
    <w:rsid w:val="00E9221F"/>
    <w:rPr>
      <w:rFonts w:ascii="Arial Narrow" w:hAnsi="Arial Narrow"/>
      <w:smallCaps/>
    </w:rPr>
  </w:style>
  <w:style w:type="character" w:customStyle="1" w:styleId="Buttons">
    <w:name w:val="Buttons"/>
    <w:basedOn w:val="DefaultParagraphFont"/>
    <w:rsid w:val="00E9221F"/>
    <w:rPr>
      <w:b/>
    </w:rPr>
  </w:style>
  <w:style w:type="character" w:customStyle="1" w:styleId="Underlined">
    <w:name w:val="Underlined"/>
    <w:basedOn w:val="DefaultParagraphFont"/>
    <w:rsid w:val="00E9221F"/>
    <w:rPr>
      <w:u w:val="single"/>
    </w:rPr>
  </w:style>
  <w:style w:type="paragraph" w:customStyle="1" w:styleId="TableBodyTextRight">
    <w:name w:val="Table Body Text Right"/>
    <w:basedOn w:val="TableBodyText"/>
    <w:rsid w:val="00E9221F"/>
    <w:pPr>
      <w:widowControl w:val="0"/>
      <w:autoSpaceDE w:val="0"/>
      <w:autoSpaceDN w:val="0"/>
      <w:adjustRightInd w:val="0"/>
      <w:jc w:val="right"/>
    </w:pPr>
    <w:rPr>
      <w:rFonts w:cs="Arial"/>
      <w:szCs w:val="18"/>
    </w:rPr>
  </w:style>
  <w:style w:type="paragraph" w:customStyle="1" w:styleId="CopyrightText">
    <w:name w:val="Copyright Text"/>
    <w:basedOn w:val="BodyText"/>
    <w:rsid w:val="00E9221F"/>
    <w:rPr>
      <w:sz w:val="18"/>
    </w:rPr>
  </w:style>
  <w:style w:type="paragraph" w:customStyle="1" w:styleId="BodySmallRight">
    <w:name w:val="Body Small Right"/>
    <w:basedOn w:val="BodyTextRight"/>
    <w:rsid w:val="00E9221F"/>
    <w:rPr>
      <w:sz w:val="18"/>
      <w:szCs w:val="18"/>
    </w:rPr>
  </w:style>
  <w:style w:type="paragraph" w:customStyle="1" w:styleId="MarginEdition">
    <w:name w:val="Margin Edition"/>
    <w:basedOn w:val="MarginNote"/>
    <w:rsid w:val="00E9221F"/>
    <w:pPr>
      <w:spacing w:before="0" w:after="0"/>
    </w:pPr>
    <w:rPr>
      <w:rFonts w:ascii="Times New Roman" w:hAnsi="Times New Roman"/>
      <w:color w:val="999999"/>
    </w:rPr>
  </w:style>
  <w:style w:type="paragraph" w:customStyle="1" w:styleId="Spacer">
    <w:name w:val="Spacer"/>
    <w:basedOn w:val="Normal"/>
    <w:rsid w:val="00E9221F"/>
    <w:rPr>
      <w:sz w:val="2"/>
      <w:szCs w:val="2"/>
    </w:rPr>
  </w:style>
  <w:style w:type="character" w:customStyle="1" w:styleId="Small">
    <w:name w:val="Small"/>
    <w:basedOn w:val="DefaultParagraphFont"/>
    <w:rsid w:val="00E9221F"/>
    <w:rPr>
      <w:sz w:val="16"/>
    </w:rPr>
  </w:style>
  <w:style w:type="paragraph" w:customStyle="1" w:styleId="WideTable">
    <w:name w:val="Wide Table"/>
    <w:basedOn w:val="Normal"/>
    <w:rsid w:val="00E9221F"/>
    <w:pPr>
      <w:ind w:left="-1418"/>
    </w:pPr>
    <w:rPr>
      <w:sz w:val="2"/>
      <w:szCs w:val="2"/>
    </w:rPr>
  </w:style>
  <w:style w:type="character" w:styleId="PageNumber">
    <w:name w:val="page number"/>
    <w:basedOn w:val="DefaultParagraphFont"/>
    <w:rsid w:val="00E9221F"/>
  </w:style>
  <w:style w:type="paragraph" w:styleId="Quote">
    <w:name w:val="Quote"/>
    <w:basedOn w:val="Heading1"/>
    <w:link w:val="QuoteChar"/>
    <w:qFormat/>
    <w:rsid w:val="00E9221F"/>
    <w:rPr>
      <w:b w:val="0"/>
      <w:sz w:val="72"/>
      <w:szCs w:val="72"/>
      <w:lang w:val="en-NZ"/>
    </w:rPr>
  </w:style>
  <w:style w:type="character" w:customStyle="1" w:styleId="QuoteChar">
    <w:name w:val="Quote Char"/>
    <w:basedOn w:val="DefaultParagraphFont"/>
    <w:link w:val="Quote"/>
    <w:rsid w:val="00E92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21F"/>
    <w:pPr>
      <w:pageBreakBefore/>
    </w:pPr>
  </w:style>
  <w:style w:type="paragraph" w:customStyle="1" w:styleId="Border">
    <w:name w:val="Border"/>
    <w:basedOn w:val="Normal"/>
    <w:qFormat/>
    <w:rsid w:val="00E92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21F"/>
    <w:rPr>
      <w:b/>
      <w:bCs/>
      <w:i/>
      <w:iCs/>
      <w:color w:val="auto"/>
    </w:rPr>
  </w:style>
  <w:style w:type="paragraph" w:styleId="IntenseQuote">
    <w:name w:val="Intense Quote"/>
    <w:basedOn w:val="Normal"/>
    <w:next w:val="Normal"/>
    <w:link w:val="IntenseQuoteChar"/>
    <w:uiPriority w:val="30"/>
    <w:qFormat/>
    <w:rsid w:val="00E92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21F"/>
    <w:rPr>
      <w:smallCaps/>
      <w:color w:val="auto"/>
      <w:u w:val="single"/>
    </w:rPr>
  </w:style>
  <w:style w:type="character" w:styleId="IntenseReference">
    <w:name w:val="Intense Reference"/>
    <w:basedOn w:val="DefaultParagraphFont"/>
    <w:uiPriority w:val="32"/>
    <w:qFormat/>
    <w:rsid w:val="00E9221F"/>
    <w:rPr>
      <w:b/>
      <w:bCs/>
      <w:smallCaps/>
      <w:color w:val="auto"/>
      <w:spacing w:val="5"/>
      <w:u w:val="single"/>
    </w:rPr>
  </w:style>
  <w:style w:type="paragraph" w:customStyle="1" w:styleId="2ColumnHeading">
    <w:name w:val="2Column Heading"/>
    <w:basedOn w:val="BodyText"/>
    <w:qFormat/>
    <w:rsid w:val="00E9221F"/>
    <w:pPr>
      <w:spacing w:after="60"/>
      <w:ind w:left="-2268"/>
    </w:pPr>
    <w:rPr>
      <w:b/>
    </w:rPr>
  </w:style>
  <w:style w:type="paragraph" w:customStyle="1" w:styleId="Heading1TOC">
    <w:name w:val="Heading1 TOC"/>
    <w:basedOn w:val="Normal"/>
    <w:qFormat/>
    <w:rsid w:val="00E9221F"/>
    <w:pPr>
      <w:spacing w:before="240" w:after="120"/>
    </w:pPr>
    <w:rPr>
      <w:rFonts w:ascii="Times New Roman" w:hAnsi="Times New Roman"/>
      <w:b/>
      <w:sz w:val="32"/>
    </w:rPr>
  </w:style>
  <w:style w:type="paragraph" w:customStyle="1" w:styleId="Heading2TOC">
    <w:name w:val="Heading2 TOC"/>
    <w:basedOn w:val="Normal"/>
    <w:qFormat/>
    <w:rsid w:val="00E9221F"/>
    <w:pPr>
      <w:spacing w:before="240" w:after="60"/>
    </w:pPr>
    <w:rPr>
      <w:rFonts w:ascii="Times New Roman" w:hAnsi="Times New Roman"/>
      <w:b/>
      <w:sz w:val="28"/>
    </w:rPr>
  </w:style>
  <w:style w:type="character" w:customStyle="1" w:styleId="Underline">
    <w:name w:val="Underline"/>
    <w:basedOn w:val="DefaultParagraphFont"/>
    <w:qFormat/>
    <w:rsid w:val="00E9221F"/>
    <w:rPr>
      <w:u w:val="single"/>
    </w:rPr>
  </w:style>
  <w:style w:type="character" w:customStyle="1" w:styleId="BoldandItalics">
    <w:name w:val="Bold and Italics"/>
    <w:qFormat/>
    <w:rsid w:val="00E9221F"/>
    <w:rPr>
      <w:b/>
      <w:i/>
      <w:u w:val="none"/>
    </w:rPr>
  </w:style>
  <w:style w:type="paragraph" w:styleId="BalloonText">
    <w:name w:val="Balloon Text"/>
    <w:basedOn w:val="Normal"/>
    <w:link w:val="BalloonTextChar"/>
    <w:rsid w:val="00E9221F"/>
    <w:rPr>
      <w:rFonts w:ascii="Tahoma" w:hAnsi="Tahoma" w:cs="Tahoma"/>
      <w:sz w:val="16"/>
      <w:szCs w:val="16"/>
    </w:rPr>
  </w:style>
  <w:style w:type="character" w:customStyle="1" w:styleId="BalloonTextChar">
    <w:name w:val="Balloon Text Char"/>
    <w:basedOn w:val="DefaultParagraphFont"/>
    <w:link w:val="BalloonText"/>
    <w:rsid w:val="00E92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21F"/>
    <w:rPr>
      <w:b/>
      <w:color w:val="660033"/>
      <w:spacing w:val="0"/>
    </w:rPr>
  </w:style>
  <w:style w:type="paragraph" w:customStyle="1" w:styleId="Nameditemlist">
    <w:name w:val="Named item list"/>
    <w:basedOn w:val="BodyText"/>
    <w:qFormat/>
    <w:rsid w:val="00E9221F"/>
    <w:pPr>
      <w:tabs>
        <w:tab w:val="left" w:pos="2835"/>
      </w:tabs>
      <w:ind w:left="2835" w:hanging="2835"/>
    </w:pPr>
  </w:style>
  <w:style w:type="paragraph" w:customStyle="1" w:styleId="BodyTextnopadding">
    <w:name w:val="Body Text no padding"/>
    <w:basedOn w:val="BodyText"/>
    <w:qFormat/>
    <w:rsid w:val="00E9221F"/>
    <w:pPr>
      <w:spacing w:before="0" w:after="0"/>
    </w:pPr>
  </w:style>
  <w:style w:type="paragraph" w:customStyle="1" w:styleId="BodyTextBold">
    <w:name w:val="Body Text Bold"/>
    <w:basedOn w:val="BodyText"/>
    <w:qFormat/>
    <w:rsid w:val="00E9221F"/>
    <w:rPr>
      <w:b/>
    </w:rPr>
  </w:style>
  <w:style w:type="character" w:styleId="Hyperlink">
    <w:name w:val="Hyperlink"/>
    <w:basedOn w:val="DefaultParagraphFont"/>
    <w:uiPriority w:val="99"/>
    <w:unhideWhenUsed/>
    <w:rsid w:val="00D307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5733</Characters>
  <Application>Microsoft Office Word</Application>
  <DocSecurity>0</DocSecurity>
  <Lines>130</Lines>
  <Paragraphs>109</Paragraphs>
  <ScaleCrop>false</ScaleCrop>
  <Company>Author-it Software Corporation Ltd.</Company>
  <LinksUpToDate>false</LinksUpToDate>
  <CharactersWithSpaces>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UEEEL0027 Carry out low voltage electrical field testing and report findings</dc:title>
  <dc:subject>Approved</dc:subject>
  <dc:creator>Powering Skills Organisation</dc:creator>
  <cp:keywords>Release: 2</cp:keywords>
  <dc:description>Review Date: 12 April 2008</dc:description>
  <cp:lastModifiedBy>HSD_TPCMSd.prod</cp:lastModifiedBy>
  <cp:revision>3</cp:revision>
  <dcterms:created xsi:type="dcterms:W3CDTF">2024-12-02T00:30:00Z</dcterms:created>
  <dcterms:modified xsi:type="dcterms:W3CDTF">2024-12-02T00:30:00Z</dcterms:modified>
</cp:coreProperties>
</file>