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167" w:rsidP="00F22167">
      <w:pPr>
        <w:pStyle w:val="Title"/>
      </w:pPr>
      <w:r>
        <w:fldChar w:fldCharType="begin"/>
      </w:r>
      <w:r>
        <w:instrText xml:space="preserve"> TITLE   \* MERGEFORMAT </w:instrText>
      </w:r>
      <w:r>
        <w:fldChar w:fldCharType="separate"/>
      </w:r>
      <w:r>
        <w:t>UEEEL0023 Terminate cables, cords and accessories for low voltage circuits</w:t>
      </w:r>
      <w:r>
        <w:fldChar w:fldCharType="end"/>
      </w:r>
    </w:p>
    <w:p w:rsidR="00F22167" w:rsidP="00F22167">
      <w:pPr>
        <w:pStyle w:val="Version"/>
        <w:sectPr w:rsidSect="00A12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A69" w:rsidP="00A12A69">
      <w:pPr>
        <w:pStyle w:val="SuperHeading"/>
      </w:pPr>
      <w:r w:rsidRPr="00A12A69">
        <w:t>UEEEL0023 Terminate cables, cords and accessories for low voltage circuits</w:t>
      </w:r>
    </w:p>
    <w:p w:rsidR="00000000" w:rsidRPr="00A12A69" w:rsidP="00A12A69">
      <w:pPr>
        <w:pStyle w:val="Heading1"/>
      </w:pPr>
      <w:bookmarkStart w:id="1" w:name="O_1238127"/>
      <w:bookmarkEnd w:id="1"/>
      <w:r w:rsidRPr="00A12A69">
        <w:t>Modification History</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Release 2. This is the second release of this unit of competency in the UEE Electrotechnology Training Package.</w:t>
            </w:r>
          </w:p>
          <w:p w:rsidR="00000000" w:rsidRPr="00A12A69" w:rsidP="00A12A69">
            <w:pPr>
              <w:pStyle w:val="BodyText"/>
            </w:pPr>
            <w:r w:rsidRPr="00A12A69">
              <w:t>Workplace evidence requirements updated in Performance Evidence and Assessment Conditions.</w:t>
            </w:r>
          </w:p>
          <w:p w:rsidR="00000000" w:rsidP="00A12A69">
            <w:pPr>
              <w:pStyle w:val="BodyText"/>
              <w:rPr>
                <w:lang w:val="en-NZ"/>
              </w:rPr>
            </w:pPr>
            <w:r w:rsidRPr="00A12A69">
              <w:t>Assessor requirements updated in Assessment Conditions.</w:t>
            </w:r>
          </w:p>
        </w:tc>
      </w:tr>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Release 1. This is the first release of this unit of competency in the UEE Electrotechnology Training Packag</w:t>
            </w:r>
            <w:r w:rsidRPr="00A12A69">
              <w:t>e.</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2" w:name="O_1238126"/>
      <w:bookmarkEnd w:id="2"/>
      <w:r w:rsidRPr="00A12A69">
        <w:t>Application</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This unit involves the skills and knowledge required to terminate cables, cords and their conductors at accessories and current-using devices, designed to operate at voltages up to 1,000 volts (V) alternating current (a.</w:t>
            </w:r>
            <w:r w:rsidRPr="00A12A69">
              <w:t>c.) or 1,500 V direct current (d.c.).</w:t>
            </w:r>
          </w:p>
          <w:p w:rsidR="00000000" w:rsidRPr="00A12A69" w:rsidP="00A12A69">
            <w:pPr>
              <w:pStyle w:val="BodyText"/>
            </w:pPr>
            <w:r w:rsidRPr="00A12A69">
              <w:t>It includes working safely to industry standards, wiring systems, cable types and applications; selecting appropriate termination accessories; preparing and terminating cables and cords; terminating cables/cord conduct</w:t>
            </w:r>
            <w:r w:rsidRPr="00A12A69">
              <w:t>ors; and ensuring completed termination complies with industry standard requirements.</w:t>
            </w:r>
          </w:p>
          <w:p w:rsidR="00000000" w:rsidRPr="00A12A69" w:rsidP="00A12A69">
            <w:pPr>
              <w:pStyle w:val="BodyText"/>
            </w:pPr>
            <w:r w:rsidRPr="00A12A69">
              <w:t>The skills and knowledge described in this unit require a licence or permit to practice in the workplace where work is carried out on electrical installations which are d</w:t>
            </w:r>
            <w:r w:rsidRPr="00A12A69">
              <w:t>esigned to operate at voltages greater than 50 V a.c. or 120 V d.c.</w:t>
            </w:r>
          </w:p>
          <w:p w:rsidR="00000000" w:rsidRPr="00A12A69" w:rsidP="00A12A69">
            <w:pPr>
              <w:pStyle w:val="BodyText"/>
            </w:pPr>
            <w:r w:rsidRPr="00A12A69">
              <w:t>Competency development activities in this unit are subject to regulations directly related to licensing. Where a licence or permit to practice is not held, a relevant contract of training,</w:t>
            </w:r>
            <w:r w:rsidRPr="00A12A69">
              <w:t xml:space="preserve"> such as an Australian Apprenticeship, may be required.</w:t>
            </w:r>
          </w:p>
          <w:p w:rsidR="00000000" w:rsidRPr="00A12A69" w:rsidP="00A12A69">
            <w:pPr>
              <w:pStyle w:val="BodyText"/>
            </w:pPr>
            <w:r w:rsidRPr="00A12A69">
              <w:t>Additional and/or other conditions may apply in some jurisdictions subject to regulations related to electrical work. Practice in the workplace and during training is also subject to work health and s</w:t>
            </w:r>
            <w:r w:rsidRPr="00A12A69">
              <w:t>afety (WHS)/occupational health and safety (OHS) regulations.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3" w:name="O_1238125"/>
      <w:bookmarkEnd w:id="3"/>
      <w:r w:rsidRPr="00A12A69">
        <w:t>Pre-requisite Unit</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UEECD0007 Apply work health and safety regulations, codes and practices in the workplace</w:t>
            </w:r>
          </w:p>
          <w:p w:rsidR="00000000" w:rsidRPr="00A12A69" w:rsidP="00A12A69">
            <w:pPr>
              <w:pStyle w:val="BodyText"/>
            </w:pPr>
            <w:r w:rsidRPr="00A12A69">
              <w:t>UEECD0019 Fabricate, assemble and dismantle utilities industry co</w:t>
            </w:r>
            <w:r w:rsidRPr="00A12A69">
              <w:t>mponents</w:t>
            </w:r>
          </w:p>
          <w:p w:rsidR="00000000" w:rsidRPr="00A12A69" w:rsidP="00A12A69">
            <w:pPr>
              <w:pStyle w:val="BodyText"/>
            </w:pPr>
            <w:r w:rsidRPr="00A12A69">
              <w:t>UEECD0020 Fix and secure electrotechnology equipment</w:t>
            </w:r>
          </w:p>
          <w:p w:rsidR="00000000" w:rsidRPr="00A12A69" w:rsidP="00A12A69">
            <w:pPr>
              <w:pStyle w:val="BodyText"/>
            </w:pPr>
            <w:r w:rsidRPr="00A12A69">
              <w:t>UEECD0051 Use drawings, diagrams, schedules, standards, codes and specifications</w:t>
            </w:r>
          </w:p>
          <w:p w:rsidR="00000000" w:rsidRPr="00A12A69" w:rsidP="00A12A69">
            <w:pPr>
              <w:pStyle w:val="BodyText"/>
            </w:pPr>
            <w:r w:rsidRPr="00A12A69">
              <w:t>and</w:t>
            </w:r>
          </w:p>
          <w:p w:rsidR="00000000" w:rsidRPr="00A12A69" w:rsidP="00A12A69">
            <w:pPr>
              <w:pStyle w:val="BodyText"/>
            </w:pPr>
            <w:r w:rsidRPr="00A12A69">
              <w:t>UEECD0043 Solve problems in direct current circuits</w:t>
            </w:r>
          </w:p>
          <w:p w:rsidR="00000000" w:rsidRPr="00A12A69" w:rsidP="00A12A69">
            <w:pPr>
              <w:pStyle w:val="BodyText"/>
            </w:pPr>
            <w:r w:rsidRPr="00A12A69">
              <w:t>or</w:t>
            </w:r>
          </w:p>
          <w:p w:rsidR="00000000" w:rsidRPr="00A12A69" w:rsidP="00A12A69">
            <w:pPr>
              <w:pStyle w:val="BodyText"/>
            </w:pPr>
            <w:r w:rsidRPr="00A12A69">
              <w:t>UEECD0044 Solve problems in multiple path circuits</w:t>
            </w:r>
          </w:p>
          <w:p w:rsidR="00000000" w:rsidRPr="00A12A69" w:rsidP="00A12A69">
            <w:pPr>
              <w:pStyle w:val="BodyText"/>
            </w:pPr>
            <w:r w:rsidRPr="00A12A69">
              <w:t>UEECD0046 Solve problems in single path circuits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4" w:name="O_1238124"/>
      <w:bookmarkEnd w:id="4"/>
      <w:r w:rsidRPr="00A12A69">
        <w:t>Competency Field</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Electrical</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5" w:name="O_1238123"/>
      <w:bookmarkEnd w:id="5"/>
      <w:r w:rsidRPr="00A12A69">
        <w:t>Unit Sector</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Electrotechnology</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6" w:name="O_1238122"/>
      <w:bookmarkEnd w:id="6"/>
      <w:r w:rsidRPr="00A12A69">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A12A6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PERFORMANCE CRITERIA</w:t>
            </w:r>
          </w:p>
        </w:tc>
      </w:tr>
      <w:tr w:rsidTr="00A12A6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Performance criteria describe the performance needed to demonstrate achievement of the element.</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Prepare to terminate cables</w:t>
            </w:r>
            <w:r w:rsidRPr="00A12A69">
              <w:t>,</w:t>
            </w:r>
            <w:r w:rsidRPr="00A12A69">
              <w:rPr>
                <w:rStyle w:val="SpecialBold"/>
              </w:rPr>
              <w:t xml:space="preserve"> cords and conductors</w:t>
            </w: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 xml:space="preserve">WHS/OHS requirements and workplace procedures for a given </w:t>
            </w:r>
            <w:r w:rsidRPr="00A12A69">
              <w:t>work area are identified and applied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Hazards are identified, risks assessed and risk control measures and workplace procedures implemented in accordance with workplace procedures</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Safety hazards that have not previously been identified are noted on job safety assessments and existing risk control measures are implemented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 xml:space="preserve">Junction box/terminal enclosures and terminal types are inspected to determine the type and size of cable </w:t>
            </w:r>
            <w:r w:rsidRPr="00A12A69">
              <w:t>and conductor termination devices needed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Tools, materials and testing devices needed for terminating cables and cords are obtained in accordance with workplace procedures and checked for correct operation and safety</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Terminate cables, cords and co</w:t>
            </w:r>
            <w:r w:rsidRPr="00A12A69">
              <w:rPr>
                <w:rStyle w:val="SpecialBold"/>
              </w:rPr>
              <w:t>nductors</w:t>
            </w: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WHS/OHS risk control measures and procedures for carrying out the work are followed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 xml:space="preserve">Circuits/machines/plant are checked as isolated, as </w:t>
            </w:r>
            <w:r w:rsidRPr="00A12A69">
              <w:t>required, in accordance with WHS/OHS requirements and workplace procedures</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Cable/cord ends are cut and sheath/insulation stripped with sufficient length to prevent strain on terminations and without undue waste</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Cable glands/retaining devices are fitted and secured to ensure cable/cord cannot be pulled out of entry into jun</w:t>
            </w:r>
            <w:r w:rsidRPr="00A12A69">
              <w:t>ction box/terminal enclosure</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Conductors are prepared to suit the terminal type they are to be connected to</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Conductors are terminated to ensure continuity across the terminal</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2.7</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Methodology for dealing with unplanned situations are discussed with appropriate person/s and documented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2.8</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Unplanned situations are responded to safely in accordance with workplace procedures, in a manner that minimises risk to personnel, equipment an</w:t>
            </w:r>
            <w:r w:rsidRPr="00A12A69">
              <w:t>d with the approval of an authorised person</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rPr>
                <w:rStyle w:val="SpecialBold"/>
              </w:rPr>
              <w:t>Test terminated cables and cords</w:t>
            </w: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WHS/OHS work completion risk control measures and workplace procedures are followed</w:t>
            </w:r>
          </w:p>
        </w:tc>
      </w:tr>
      <w:tr w:rsidTr="00A12A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12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Terminated cables are tested to ensure continuity and insulation resistance comply with relevant industry standards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7" w:name="O_1238121"/>
      <w:bookmarkEnd w:id="7"/>
      <w:r w:rsidRPr="00A12A69">
        <w:t>Foundation Skills</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Foundation skills essential to performance are explicit in the performance criteria of this unit of c</w:t>
            </w:r>
            <w:r w:rsidRPr="00A12A69">
              <w:t>ompetency.</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8" w:name="O_1238120"/>
      <w:bookmarkEnd w:id="8"/>
      <w:r w:rsidRPr="00A12A69">
        <w:t>Range of Conditions</w:t>
      </w:r>
    </w:p>
    <w:tbl>
      <w:tblPr>
        <w:tblW w:w="9497" w:type="dxa"/>
        <w:tblLayout w:type="fixed"/>
        <w:tblCellMar>
          <w:left w:w="62" w:type="dxa"/>
          <w:right w:w="62" w:type="dxa"/>
        </w:tblCellMar>
        <w:tblLook w:val="0000"/>
      </w:tblPr>
      <w:tblGrid>
        <w:gridCol w:w="4638"/>
        <w:gridCol w:w="4859"/>
      </w:tblGrid>
      <w:tr w:rsidTr="00A12A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Range is restricted to essential operating conditions and any other variables essential to the work environment.</w:t>
            </w:r>
          </w:p>
          <w:p w:rsidR="00000000" w:rsidP="00A12A69">
            <w:pPr>
              <w:pStyle w:val="BodyText"/>
              <w:rPr>
                <w:lang w:val="en-NZ"/>
              </w:rPr>
            </w:pPr>
            <w:r w:rsidRPr="00A12A69">
              <w:t>Non-essential conditions may be found in the UEE Electrotechnology Training Package Compani</w:t>
            </w:r>
            <w:r w:rsidRPr="00A12A69">
              <w:t>on Volume Implementation Guide.</w:t>
            </w:r>
          </w:p>
        </w:tc>
      </w:tr>
      <w:tr w:rsidTr="00A12A6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Terminating cables, cords and accessories must include at least five of the following types of cables each at a junction box and a device terminal enclosure:</w:t>
            </w:r>
          </w:p>
        </w:tc>
        <w:tc>
          <w:tcPr>
            <w:tcW w:w="4859" w:type="dxa"/>
            <w:tcBorders>
              <w:top w:val="nil"/>
              <w:left w:val="nil"/>
              <w:bottom w:val="nil"/>
              <w:right w:val="nil"/>
            </w:tcBorders>
            <w:tcMar>
              <w:top w:w="0" w:type="dxa"/>
              <w:left w:w="62" w:type="dxa"/>
              <w:bottom w:w="0" w:type="dxa"/>
              <w:right w:w="62" w:type="dxa"/>
            </w:tcMar>
          </w:tcPr>
          <w:p w:rsidR="00000000" w:rsidRPr="00A12A69" w:rsidP="00A12A69">
            <w:pPr>
              <w:pStyle w:val="ListBullet"/>
            </w:pPr>
            <w:r w:rsidRPr="00A12A69">
              <w:t>circular thermoplastic sheathed (TPS)</w:t>
            </w:r>
          </w:p>
          <w:p w:rsidR="00000000" w:rsidRPr="00A12A69" w:rsidP="00A12A69">
            <w:pPr>
              <w:pStyle w:val="ListBullet"/>
            </w:pPr>
            <w:r w:rsidRPr="00A12A69">
              <w:t>flat TPS</w:t>
            </w:r>
          </w:p>
          <w:p w:rsidR="00000000" w:rsidRPr="00A12A69" w:rsidP="00A12A69">
            <w:pPr>
              <w:pStyle w:val="ListBullet"/>
            </w:pPr>
            <w:r w:rsidRPr="00A12A69">
              <w:t>flexible cables</w:t>
            </w:r>
          </w:p>
          <w:p w:rsidR="00000000" w:rsidRPr="00A12A69" w:rsidP="00A12A69">
            <w:pPr>
              <w:pStyle w:val="ListBullet"/>
            </w:pPr>
            <w:r w:rsidRPr="00A12A69">
              <w:t>flexible cords</w:t>
            </w:r>
          </w:p>
          <w:p w:rsidR="00000000" w:rsidRPr="00A12A69" w:rsidP="00A12A69">
            <w:pPr>
              <w:pStyle w:val="ListBullet"/>
            </w:pPr>
            <w:r w:rsidRPr="00A12A69">
              <w:t>fire protection cables</w:t>
            </w:r>
          </w:p>
          <w:p w:rsidR="00000000" w:rsidRPr="00A12A69" w:rsidP="00A12A69">
            <w:pPr>
              <w:pStyle w:val="ListBullet"/>
            </w:pPr>
            <w:r w:rsidRPr="00A12A69">
              <w:t>steel wire armoured (SWA) cables</w:t>
            </w:r>
          </w:p>
          <w:p w:rsidR="00000000" w:rsidP="00A12A69">
            <w:pPr>
              <w:pStyle w:val="ListBullet"/>
              <w:rPr>
                <w:lang w:val="en-NZ"/>
              </w:rPr>
            </w:pPr>
            <w:r w:rsidRPr="00A12A69">
              <w:t>thermoplastic insulated (TPI) cables.</w:t>
            </w:r>
          </w:p>
        </w:tc>
      </w:tr>
      <w:tr w:rsidTr="00A12A6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Terminating conductors must include the following terminal types:</w:t>
            </w:r>
          </w:p>
        </w:tc>
        <w:tc>
          <w:tcPr>
            <w:tcW w:w="4859" w:type="dxa"/>
            <w:tcBorders>
              <w:top w:val="nil"/>
              <w:left w:val="nil"/>
              <w:bottom w:val="nil"/>
              <w:right w:val="nil"/>
            </w:tcBorders>
            <w:tcMar>
              <w:top w:w="0" w:type="dxa"/>
              <w:left w:w="62" w:type="dxa"/>
              <w:bottom w:w="0" w:type="dxa"/>
              <w:right w:w="62" w:type="dxa"/>
            </w:tcMar>
          </w:tcPr>
          <w:p w:rsidR="00000000" w:rsidRPr="00A12A69" w:rsidP="00A12A69">
            <w:pPr>
              <w:pStyle w:val="ListBullet"/>
            </w:pPr>
            <w:r w:rsidRPr="00A12A69">
              <w:t>screw terminal</w:t>
            </w:r>
          </w:p>
          <w:p w:rsidR="00000000" w:rsidRPr="00A12A69" w:rsidP="00A12A69">
            <w:pPr>
              <w:pStyle w:val="ListBullet"/>
            </w:pPr>
            <w:r w:rsidRPr="00A12A69">
              <w:t>stud terminal</w:t>
            </w:r>
          </w:p>
          <w:p w:rsidR="00000000" w:rsidRPr="00A12A69" w:rsidP="00A12A69">
            <w:pPr>
              <w:pStyle w:val="ListBullet"/>
            </w:pPr>
            <w:r w:rsidRPr="00A12A69">
              <w:t>tunnel terminal.</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9" w:name="O_1238119"/>
      <w:bookmarkEnd w:id="9"/>
      <w:r w:rsidRPr="00A12A69">
        <w:t>Unit Mapping Information</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This unit replaces and is equivalent to UEENEEG106A Terminate cables, cords and accessories for low voltage circuits.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10" w:name="O_1238128"/>
      <w:bookmarkEnd w:id="10"/>
      <w:r w:rsidRPr="00A12A69">
        <w:t>Links</w:t>
      </w:r>
    </w:p>
    <w:p w:rsidR="00000000" w:rsidRPr="00A12A69" w:rsidP="00F22167">
      <w:pPr>
        <w:pStyle w:val="BodyText"/>
      </w:pPr>
      <w:r w:rsidRPr="00A12A6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85804">
        <w:rPr>
          <w:rStyle w:val="Hyperlink"/>
        </w:rPr>
        <w:t>https://vetnet.gov.au/Pages/TrainingDocs.aspx?q=b8a8f136-5421-4ce1-92e0-2b50341431b6</w:t>
      </w:r>
      <w:r>
        <w:fldChar w:fldCharType="end"/>
      </w:r>
    </w:p>
    <w:p w:rsidR="00000000" w:rsidRPr="00A12A69" w:rsidP="00F22167">
      <w:pPr>
        <w:pStyle w:val="BodyText"/>
        <w:sectPr w:rsidSect="00A12A69">
          <w:headerReference w:type="default" r:id="rId10"/>
          <w:footerReference w:type="default" r:id="rId11"/>
          <w:pgSz w:w="11908" w:h="16833"/>
          <w:pgMar w:top="1702" w:right="1418" w:bottom="1702" w:left="1418" w:header="992" w:footer="992" w:gutter="0"/>
          <w:cols w:space="720"/>
          <w:noEndnote/>
          <w:docGrid w:linePitch="299"/>
        </w:sectPr>
      </w:pPr>
    </w:p>
    <w:p w:rsidR="00000000" w:rsidRPr="00A12A69" w:rsidP="00A12A69">
      <w:pPr>
        <w:pStyle w:val="SuperHeading"/>
      </w:pPr>
      <w:r w:rsidRPr="00A12A69">
        <w:t>Assessment Requirements for UEEEL0023 Terminate cables, cords a</w:t>
      </w:r>
      <w:r w:rsidRPr="00A12A69">
        <w:t>nd accessories for low voltage circuits</w:t>
      </w:r>
    </w:p>
    <w:p w:rsidR="00000000" w:rsidRPr="00A12A69" w:rsidP="00A12A69">
      <w:pPr>
        <w:pStyle w:val="Heading1"/>
      </w:pPr>
      <w:bookmarkStart w:id="11" w:name="O_1238117"/>
      <w:bookmarkEnd w:id="11"/>
      <w:r w:rsidRPr="00A12A69">
        <w:t>Modification History</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Release 2. This is the second release of this unit of competency in the UEE Electrotechnology Training Package.</w:t>
            </w:r>
          </w:p>
          <w:p w:rsidR="00000000" w:rsidRPr="00A12A69" w:rsidP="00A12A69">
            <w:pPr>
              <w:pStyle w:val="BodyText"/>
            </w:pPr>
            <w:r w:rsidRPr="00A12A69">
              <w:t>Workplace evidence requirements updated in Performance Evidence a</w:t>
            </w:r>
            <w:r w:rsidRPr="00A12A69">
              <w:t>nd Assessment Conditions.</w:t>
            </w:r>
          </w:p>
          <w:p w:rsidR="00000000" w:rsidP="00A12A69">
            <w:pPr>
              <w:pStyle w:val="BodyText"/>
              <w:rPr>
                <w:lang w:val="en-NZ"/>
              </w:rPr>
            </w:pPr>
            <w:r w:rsidRPr="00A12A69">
              <w:t>Assessor requirements updated in Assessment Conditions.</w:t>
            </w:r>
          </w:p>
        </w:tc>
      </w:tr>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Release 1. This is the first release of this unit of competency in the UEE Electrotechnology Training Package.</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12" w:name="O_1238116"/>
      <w:bookmarkEnd w:id="12"/>
      <w:r w:rsidRPr="00A12A69">
        <w:t>Performance Evidence</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2A69">
            <w:pPr>
              <w:pStyle w:val="BodyText"/>
              <w:rPr>
                <w:lang w:val="en-NZ"/>
              </w:rPr>
            </w:pPr>
            <w:r w:rsidRPr="00A12A69">
              <w:t>Evidence required to</w:t>
            </w:r>
            <w:r w:rsidRPr="00A12A69">
              <w:t xml:space="preserve"> demonstrate competence in this unit must be relevant to and satisfy all of the requirements of the elements, performance criteria and range of conditions on at least two separate occasions and include: </w:t>
            </w:r>
          </w:p>
        </w:tc>
      </w:tr>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ListBullet"/>
            </w:pPr>
            <w:r w:rsidRPr="00A12A69">
              <w:t># applying relevant work health and safety (WHS)/occupational health and safety (OHS) requirements and workplace procedures and practices, including using risk control measures</w:t>
            </w:r>
          </w:p>
          <w:p w:rsidR="00000000" w:rsidRPr="00A12A69" w:rsidP="00A12A69">
            <w:pPr>
              <w:pStyle w:val="ListBullet"/>
            </w:pPr>
            <w:r w:rsidRPr="00A12A69">
              <w:t xml:space="preserve"># applying sustainable energy principles and practices </w:t>
            </w:r>
          </w:p>
          <w:p w:rsidR="00000000" w:rsidRPr="00A12A69" w:rsidP="00A12A69">
            <w:pPr>
              <w:pStyle w:val="ListBullet"/>
            </w:pPr>
            <w:r w:rsidRPr="00A12A69">
              <w:t># confirming relevant c</w:t>
            </w:r>
            <w:r w:rsidRPr="00A12A69">
              <w:t>ircuits are isolated</w:t>
            </w:r>
          </w:p>
          <w:p w:rsidR="00000000" w:rsidRPr="00A12A69" w:rsidP="00A12A69">
            <w:pPr>
              <w:pStyle w:val="ListBullet"/>
            </w:pPr>
            <w:r w:rsidRPr="00A12A69">
              <w:t>dealing with unplanned events in accordance with workplace procedures in a manner that minimises risk to personnel and equipment</w:t>
            </w:r>
          </w:p>
          <w:p w:rsidR="00000000" w:rsidRPr="00A12A69" w:rsidP="00A12A69">
            <w:pPr>
              <w:pStyle w:val="ListBullet"/>
            </w:pPr>
            <w:r w:rsidRPr="00A12A69">
              <w:t># terminating wiring and accessories for low voltage circuits, including:</w:t>
            </w:r>
          </w:p>
          <w:p w:rsidR="00000000" w:rsidRPr="00A12A69" w:rsidP="00A12A69">
            <w:pPr>
              <w:pStyle w:val="ListBullet2"/>
            </w:pPr>
            <w:r w:rsidRPr="00A12A69">
              <w:t># cutting cable ends and stripp</w:t>
            </w:r>
            <w:r w:rsidRPr="00A12A69">
              <w:t>ing sheath/insulation to a sufficient length</w:t>
            </w:r>
          </w:p>
          <w:p w:rsidR="00000000" w:rsidRPr="00A12A69" w:rsidP="00A12A69">
            <w:pPr>
              <w:pStyle w:val="ListBullet2"/>
            </w:pPr>
            <w:r w:rsidRPr="00A12A69">
              <w:t># fitting and securing cable glands/retaining devices correctly</w:t>
            </w:r>
          </w:p>
          <w:p w:rsidR="00000000" w:rsidRPr="00A12A69" w:rsidP="00A12A69">
            <w:pPr>
              <w:pStyle w:val="ListBullet2"/>
            </w:pPr>
            <w:r w:rsidRPr="00A12A69">
              <w:t># preparing and terminating conductors to suit the type of terminal at which they are to be connected</w:t>
            </w:r>
          </w:p>
          <w:p w:rsidR="00000000" w:rsidRPr="00A12A69" w:rsidP="00A12A69">
            <w:pPr>
              <w:pStyle w:val="ListBullet2"/>
            </w:pPr>
            <w:r w:rsidRPr="00A12A69">
              <w:t># selecting appropriate cable/cord and conductor devices</w:t>
            </w:r>
          </w:p>
          <w:p w:rsidR="00000000" w:rsidRPr="00A12A69" w:rsidP="00A12A69">
            <w:pPr>
              <w:pStyle w:val="ListBullet2"/>
            </w:pPr>
            <w:r w:rsidRPr="00A12A69">
              <w:t># testing completed cables to ensure compliant continuity and insulation resistance</w:t>
            </w:r>
          </w:p>
          <w:p w:rsidR="00000000" w:rsidRPr="00A12A69" w:rsidP="00A12A69">
            <w:pPr>
              <w:pStyle w:val="ListBullet"/>
            </w:pPr>
            <w:r w:rsidRPr="00A12A69">
              <w:t># inspecting junction box/terminal enclosures and determining the type and size of required cable and conductor te</w:t>
            </w:r>
            <w:r w:rsidRPr="00A12A69">
              <w:t xml:space="preserve">rmination devices </w:t>
            </w:r>
          </w:p>
          <w:p w:rsidR="00000000" w:rsidRPr="00A12A69" w:rsidP="00A12A69">
            <w:pPr>
              <w:pStyle w:val="ListBullet"/>
            </w:pPr>
            <w:r w:rsidRPr="00A12A69">
              <w:t># testing terminated cables and cords.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13" w:name="O_1238115"/>
      <w:bookmarkEnd w:id="13"/>
      <w:r w:rsidRPr="00A12A69">
        <w:t>Knowledge Evidence</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 xml:space="preserve">Evidence required to demonstrate competence in this unit must be relevant to and satisfy all of the requirements of the elements, performance criteria and </w:t>
            </w:r>
            <w:r w:rsidRPr="00A12A69">
              <w:t xml:space="preserve">range of conditions and include knowledge of: </w:t>
            </w:r>
          </w:p>
          <w:p w:rsidR="00000000" w:rsidRPr="00A12A69" w:rsidP="00A12A69">
            <w:pPr>
              <w:pStyle w:val="ListBullet"/>
            </w:pPr>
            <w:r w:rsidRPr="00A12A69">
              <w:t>cable types and terminations, including:</w:t>
            </w:r>
          </w:p>
          <w:p w:rsidR="00000000" w:rsidRPr="00A12A69" w:rsidP="00A12A69">
            <w:pPr>
              <w:pStyle w:val="ListBullet2"/>
            </w:pPr>
            <w:r w:rsidRPr="00A12A69">
              <w:t>application of various cords and cables types, as defined by the properties of their insulation, sheathing, armouring and/or screening</w:t>
            </w:r>
          </w:p>
          <w:p w:rsidR="00000000" w:rsidRPr="00A12A69" w:rsidP="00A12A69">
            <w:pPr>
              <w:pStyle w:val="ListBullet2"/>
            </w:pPr>
            <w:r w:rsidRPr="00A12A69">
              <w:t>Australian and international co</w:t>
            </w:r>
            <w:r w:rsidRPr="00A12A69">
              <w:t>lour standards for cords and cables</w:t>
            </w:r>
          </w:p>
          <w:p w:rsidR="00000000" w:rsidRPr="00A12A69" w:rsidP="00A12A69">
            <w:pPr>
              <w:pStyle w:val="ListBullet2"/>
            </w:pPr>
            <w:r w:rsidRPr="00A12A69">
              <w:t>single cables, flexible cables, flexible cords, screened cables, armoured cables, other similar and like cables</w:t>
            </w:r>
          </w:p>
          <w:p w:rsidR="00000000" w:rsidRPr="00A12A69" w:rsidP="00A12A69">
            <w:pPr>
              <w:pStyle w:val="ListBullet2"/>
            </w:pPr>
            <w:r w:rsidRPr="00A12A69">
              <w:t>construction of common cables</w:t>
            </w:r>
          </w:p>
          <w:p w:rsidR="00000000" w:rsidRPr="00A12A69" w:rsidP="00A12A69">
            <w:pPr>
              <w:pStyle w:val="ListBullet2"/>
            </w:pPr>
            <w:r w:rsidRPr="00A12A69">
              <w:t>identification of cords and cables by conductor size, type and rating</w:t>
            </w:r>
          </w:p>
          <w:p w:rsidR="00000000" w:rsidRPr="00A12A69" w:rsidP="00A12A69">
            <w:pPr>
              <w:pStyle w:val="ListBullet2"/>
            </w:pPr>
            <w:r w:rsidRPr="00A12A69">
              <w:t>identifi</w:t>
            </w:r>
            <w:r w:rsidRPr="00A12A69">
              <w:t>cation of hardware used in terminating cords and cables</w:t>
            </w:r>
          </w:p>
          <w:p w:rsidR="00000000" w:rsidRPr="00A12A69" w:rsidP="00A12A69">
            <w:pPr>
              <w:pStyle w:val="ListBullet2"/>
            </w:pPr>
            <w:r w:rsidRPr="00A12A69">
              <w:t xml:space="preserve">requirements to protect and support cables adequately (protection against mechanical damage, protection from adverse temperatures and corrosion and protection from magnetic field that may </w:t>
            </w:r>
            <w:r w:rsidRPr="00A12A69">
              <w:t>affect the p</w:t>
            </w:r>
            <w:r w:rsidRPr="00A12A69">
              <w:t>erformance of the cable)</w:t>
            </w:r>
          </w:p>
          <w:p w:rsidR="00000000" w:rsidRPr="00A12A69" w:rsidP="00A12A69">
            <w:pPr>
              <w:pStyle w:val="ListBullet2"/>
            </w:pPr>
            <w:r w:rsidRPr="00A12A69">
              <w:t>structural components of cables and their purpose (conductor material, stranding, insulation type, voltage rating, screening, sheathing, armour and serving)</w:t>
            </w:r>
          </w:p>
          <w:p w:rsidR="00000000" w:rsidRPr="00A12A69" w:rsidP="00A12A69">
            <w:pPr>
              <w:pStyle w:val="ListBullet2"/>
            </w:pPr>
            <w:r w:rsidRPr="00A12A69">
              <w:t>techniques for termination of cords and cables using crimp lugs, tunnel connectors, soldering and solderless lugs</w:t>
            </w:r>
          </w:p>
          <w:p w:rsidR="00000000" w:rsidRPr="00A12A69" w:rsidP="00A12A69">
            <w:pPr>
              <w:pStyle w:val="ListBullet"/>
            </w:pPr>
            <w:r w:rsidRPr="00A12A69">
              <w:t>cords, cables and plugs, including:</w:t>
            </w:r>
          </w:p>
          <w:p w:rsidR="00000000" w:rsidRPr="00A12A69" w:rsidP="00A12A69">
            <w:pPr>
              <w:pStyle w:val="ListBullet2"/>
            </w:pPr>
            <w:r w:rsidRPr="00A12A69">
              <w:t>techniques for selection of flexible cords for given applications</w:t>
            </w:r>
          </w:p>
          <w:p w:rsidR="00000000" w:rsidRPr="00A12A69" w:rsidP="00A12A69">
            <w:pPr>
              <w:pStyle w:val="ListBullet2"/>
            </w:pPr>
            <w:r w:rsidRPr="00A12A69">
              <w:t>preparation of cord ends for connectio</w:t>
            </w:r>
            <w:r w:rsidRPr="00A12A69">
              <w:t>n</w:t>
            </w:r>
          </w:p>
          <w:p w:rsidR="00000000" w:rsidRPr="00A12A69" w:rsidP="00A12A69">
            <w:pPr>
              <w:pStyle w:val="ListBullet2"/>
            </w:pPr>
            <w:r w:rsidRPr="00A12A69">
              <w:t>fitting standard three pin plug tops and extension sockets to flexible cords</w:t>
            </w:r>
          </w:p>
          <w:p w:rsidR="00000000" w:rsidRPr="00A12A69" w:rsidP="00A12A69">
            <w:pPr>
              <w:pStyle w:val="ListBullet2"/>
            </w:pPr>
            <w:r w:rsidRPr="00A12A69">
              <w:t>connecting a variety of plug tops and extension sockets to different flexible cord types</w:t>
            </w:r>
          </w:p>
          <w:p w:rsidR="00000000" w:rsidRPr="00A12A69" w:rsidP="00A12A69">
            <w:pPr>
              <w:pStyle w:val="ListBullet"/>
            </w:pPr>
            <w:r w:rsidRPr="00A12A69">
              <w:t>flat thermoplastic sheathed (TPS) wiring systems, including techniques for:</w:t>
            </w:r>
          </w:p>
          <w:p w:rsidR="00000000" w:rsidRPr="00A12A69" w:rsidP="00A12A69">
            <w:pPr>
              <w:pStyle w:val="ListBullet2"/>
            </w:pPr>
            <w:r w:rsidRPr="00A12A69">
              <w:t>installati</w:t>
            </w:r>
            <w:r w:rsidRPr="00A12A69">
              <w:t>on of flat TPS cable in trunking and duct for the supply of socket outlets</w:t>
            </w:r>
          </w:p>
          <w:p w:rsidR="00000000" w:rsidRPr="00A12A69" w:rsidP="00A12A69">
            <w:pPr>
              <w:pStyle w:val="ListBullet2"/>
            </w:pPr>
            <w:r w:rsidRPr="00A12A69">
              <w:t>using flat TPS cable for lighting looms</w:t>
            </w:r>
          </w:p>
          <w:p w:rsidR="00000000" w:rsidRPr="00A12A69" w:rsidP="00A12A69">
            <w:pPr>
              <w:pStyle w:val="ListBullet"/>
            </w:pPr>
            <w:r w:rsidRPr="00A12A69">
              <w:t>circular TPS wiring systems, including techniques for:</w:t>
            </w:r>
          </w:p>
          <w:p w:rsidR="00000000" w:rsidRPr="00A12A69" w:rsidP="00A12A69">
            <w:pPr>
              <w:pStyle w:val="ListBullet2"/>
            </w:pPr>
            <w:r w:rsidRPr="00A12A69">
              <w:t>installation of circular TPS cables on cable ladder/tray</w:t>
            </w:r>
          </w:p>
          <w:p w:rsidR="00000000" w:rsidRPr="00A12A69" w:rsidP="00A12A69">
            <w:pPr>
              <w:pStyle w:val="ListBullet2"/>
            </w:pPr>
            <w:r w:rsidRPr="00A12A69">
              <w:t xml:space="preserve">installation of circular TPS cable </w:t>
            </w:r>
          </w:p>
          <w:p w:rsidR="00000000" w:rsidRPr="00A12A69" w:rsidP="00A12A69">
            <w:pPr>
              <w:pStyle w:val="ListBullet"/>
            </w:pPr>
            <w:r w:rsidRPr="00A12A69">
              <w:t>thermoplastic insulated (TPI) cables in non-metallic enclosures, including techniques for:</w:t>
            </w:r>
          </w:p>
          <w:p w:rsidR="00000000" w:rsidRPr="00A12A69" w:rsidP="00A12A69">
            <w:pPr>
              <w:pStyle w:val="ListBullet2"/>
            </w:pPr>
            <w:r w:rsidRPr="00A12A69">
              <w:t>cutting and setting rigid non-metallic ducting, trunking and conduit and accessories</w:t>
            </w:r>
          </w:p>
          <w:p w:rsidR="00000000" w:rsidRPr="00A12A69" w:rsidP="00A12A69">
            <w:pPr>
              <w:pStyle w:val="ListBullet2"/>
            </w:pPr>
            <w:r w:rsidRPr="00A12A69">
              <w:t xml:space="preserve">installation of circuits using TPI cables </w:t>
            </w:r>
            <w:r w:rsidRPr="00A12A69">
              <w:t>in non-metallic enclosures</w:t>
            </w:r>
          </w:p>
          <w:p w:rsidR="00000000" w:rsidRPr="00A12A69" w:rsidP="00A12A69">
            <w:pPr>
              <w:pStyle w:val="ListBullet"/>
            </w:pPr>
            <w:r w:rsidRPr="00A12A69">
              <w:t>TPI cables in metallic enclosures, including techniques for:</w:t>
            </w:r>
          </w:p>
          <w:p w:rsidR="00000000" w:rsidRPr="00A12A69" w:rsidP="00A12A69">
            <w:pPr>
              <w:pStyle w:val="ListBullet2"/>
            </w:pPr>
            <w:r w:rsidRPr="00A12A69">
              <w:t>fitting metallic conduit to metallic trunking and accessories</w:t>
            </w:r>
          </w:p>
          <w:p w:rsidR="00000000" w:rsidRPr="00A12A69" w:rsidP="00A12A69">
            <w:pPr>
              <w:pStyle w:val="ListBullet2"/>
            </w:pPr>
            <w:r w:rsidRPr="00A12A69">
              <w:t xml:space="preserve">cutting, threading and setting metallic conduit </w:t>
            </w:r>
          </w:p>
          <w:p w:rsidR="00000000" w:rsidRPr="00A12A69" w:rsidP="00A12A69">
            <w:pPr>
              <w:pStyle w:val="ListBullet2"/>
            </w:pPr>
            <w:r w:rsidRPr="00A12A69">
              <w:t>installation of circuits using TPI cables in metallic c</w:t>
            </w:r>
            <w:r w:rsidRPr="00A12A69">
              <w:t>onduit, ducting and trunking</w:t>
            </w:r>
          </w:p>
          <w:p w:rsidR="00000000" w:rsidRPr="00A12A69" w:rsidP="00A12A69">
            <w:pPr>
              <w:pStyle w:val="ListBullet"/>
            </w:pPr>
            <w:r w:rsidRPr="00A12A69">
              <w:t>fire protection cabling and systems encompassing:</w:t>
            </w:r>
          </w:p>
          <w:p w:rsidR="00000000" w:rsidRPr="00A12A69" w:rsidP="00A12A69">
            <w:pPr>
              <w:pStyle w:val="ListBullet2"/>
            </w:pPr>
            <w:r w:rsidRPr="00A12A69">
              <w:t>requirements when passing a wiring system through a fire rated wall or floor</w:t>
            </w:r>
          </w:p>
          <w:p w:rsidR="00000000" w:rsidRPr="00A12A69" w:rsidP="00A12A69">
            <w:pPr>
              <w:pStyle w:val="ListBullet2"/>
            </w:pPr>
            <w:r w:rsidRPr="00A12A69">
              <w:t xml:space="preserve">techniques for recognising different fire protection cable types </w:t>
            </w:r>
          </w:p>
          <w:p w:rsidR="00000000" w:rsidRPr="00A12A69" w:rsidP="00A12A69">
            <w:pPr>
              <w:pStyle w:val="ListBullet2"/>
            </w:pPr>
            <w:r w:rsidRPr="00A12A69">
              <w:t xml:space="preserve">techniques for installation and </w:t>
            </w:r>
            <w:r w:rsidRPr="00A12A69">
              <w:t>termination of fire protection cable</w:t>
            </w:r>
          </w:p>
          <w:p w:rsidR="00000000" w:rsidRPr="00A12A69" w:rsidP="00A12A69">
            <w:pPr>
              <w:pStyle w:val="ListBullet"/>
            </w:pPr>
            <w:r w:rsidRPr="00A12A69">
              <w:t>steel wire armoured (SWA) cables, including techniques for:</w:t>
            </w:r>
          </w:p>
          <w:p w:rsidR="00000000" w:rsidRPr="00A12A69" w:rsidP="00A12A69">
            <w:pPr>
              <w:pStyle w:val="ListBullet2"/>
            </w:pPr>
            <w:r w:rsidRPr="00A12A69">
              <w:t>identifying accessories used with SWA cables</w:t>
            </w:r>
          </w:p>
          <w:p w:rsidR="00000000" w:rsidRPr="00A12A69" w:rsidP="00A12A69">
            <w:pPr>
              <w:pStyle w:val="ListBullet2"/>
            </w:pPr>
            <w:r w:rsidRPr="00A12A69">
              <w:t>installation of circuits using SWA cables</w:t>
            </w:r>
          </w:p>
          <w:p w:rsidR="00000000" w:rsidRPr="00A12A69" w:rsidP="00A12A69">
            <w:pPr>
              <w:pStyle w:val="ListBullet"/>
            </w:pPr>
            <w:r w:rsidRPr="00A12A69">
              <w:t>trailing cables and catenary systems, including techniques for:</w:t>
            </w:r>
          </w:p>
          <w:p w:rsidR="00000000" w:rsidRPr="00A12A69" w:rsidP="00A12A69">
            <w:pPr>
              <w:pStyle w:val="ListBullet2"/>
            </w:pPr>
            <w:r w:rsidRPr="00A12A69">
              <w:t>identifying equipment used with trailing cable and catenary systems</w:t>
            </w:r>
          </w:p>
          <w:p w:rsidR="00000000" w:rsidRPr="00A12A69" w:rsidP="00A12A69">
            <w:pPr>
              <w:pStyle w:val="ListBullet2"/>
            </w:pPr>
            <w:r w:rsidRPr="00A12A69">
              <w:t>installation of catenary wiring systems</w:t>
            </w:r>
          </w:p>
          <w:p w:rsidR="00000000" w:rsidRPr="00A12A69" w:rsidP="00A12A69">
            <w:pPr>
              <w:pStyle w:val="ListBullet2"/>
            </w:pPr>
            <w:r w:rsidRPr="00A12A69">
              <w:t>installation of trailing cable systems supplying pendant sockets</w:t>
            </w:r>
          </w:p>
          <w:p w:rsidR="00000000" w:rsidRPr="00A12A69" w:rsidP="00A12A69">
            <w:pPr>
              <w:pStyle w:val="ListBullet"/>
            </w:pPr>
            <w:r w:rsidRPr="00A12A69">
              <w:t>relevant industry standards and testing requirements for safe operation relating t</w:t>
            </w:r>
            <w:r w:rsidRPr="00A12A69">
              <w:t>o:</w:t>
            </w:r>
          </w:p>
          <w:p w:rsidR="00000000" w:rsidRPr="00A12A69" w:rsidP="00A12A69">
            <w:pPr>
              <w:pStyle w:val="ListBullet2"/>
            </w:pPr>
            <w:r w:rsidRPr="00A12A69">
              <w:t>cords, cables and plugs</w:t>
            </w:r>
          </w:p>
          <w:p w:rsidR="00000000" w:rsidRPr="00A12A69" w:rsidP="00A12A69">
            <w:pPr>
              <w:pStyle w:val="ListBullet2"/>
            </w:pPr>
            <w:r w:rsidRPr="00A12A69">
              <w:t>circular and flat TPS wiring systems</w:t>
            </w:r>
          </w:p>
          <w:p w:rsidR="00000000" w:rsidRPr="00A12A69" w:rsidP="00A12A69">
            <w:pPr>
              <w:pStyle w:val="ListBullet2"/>
            </w:pPr>
            <w:r w:rsidRPr="00A12A69">
              <w:t>TPI cables in non-metallic enclosures</w:t>
            </w:r>
          </w:p>
          <w:p w:rsidR="00000000" w:rsidRPr="00A12A69" w:rsidP="00A12A69">
            <w:pPr>
              <w:pStyle w:val="ListBullet2"/>
            </w:pPr>
            <w:r w:rsidRPr="00A12A69">
              <w:t>TPI cables</w:t>
            </w:r>
          </w:p>
          <w:p w:rsidR="00000000" w:rsidRPr="00A12A69" w:rsidP="00A12A69">
            <w:pPr>
              <w:pStyle w:val="ListBullet2"/>
            </w:pPr>
            <w:r w:rsidRPr="00A12A69">
              <w:t>fire protection cabling</w:t>
            </w:r>
          </w:p>
          <w:p w:rsidR="00000000" w:rsidRPr="00A12A69" w:rsidP="00A12A69">
            <w:pPr>
              <w:pStyle w:val="ListBullet2"/>
            </w:pPr>
            <w:r w:rsidRPr="00A12A69">
              <w:t>SWA cables</w:t>
            </w:r>
          </w:p>
          <w:p w:rsidR="00000000" w:rsidRPr="00A12A69" w:rsidP="00A12A69">
            <w:pPr>
              <w:pStyle w:val="ListBullet2"/>
            </w:pPr>
            <w:r w:rsidRPr="00A12A69">
              <w:t>trailing cables and catenary systems</w:t>
            </w:r>
          </w:p>
          <w:p w:rsidR="00000000" w:rsidRPr="00A12A69" w:rsidP="00A12A69">
            <w:pPr>
              <w:pStyle w:val="ListBullet"/>
            </w:pPr>
            <w:r w:rsidRPr="00A12A69">
              <w:t>relevant manufacturer specifications</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14" w:name="O_1238114"/>
      <w:bookmarkEnd w:id="14"/>
      <w:r w:rsidRPr="00A12A69">
        <w:t>Assessment Conditions</w:t>
      </w:r>
    </w:p>
    <w:tbl>
      <w:tblPr>
        <w:tblW w:w="9497" w:type="dxa"/>
        <w:tblLayout w:type="fixed"/>
        <w:tblCellMar>
          <w:left w:w="62" w:type="dxa"/>
          <w:right w:w="62" w:type="dxa"/>
        </w:tblCellMar>
        <w:tblLook w:val="0000"/>
      </w:tblPr>
      <w:tblGrid>
        <w:gridCol w:w="9497"/>
      </w:tblGrid>
      <w:tr w:rsidTr="00A12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2A69" w:rsidP="00A12A69">
            <w:pPr>
              <w:pStyle w:val="BodyText"/>
            </w:pPr>
            <w:r w:rsidRPr="00A12A69">
              <w:t xml:space="preserve">Assessors must hold credentials specified within the Standards for Registered Training Organisations current at the time of assessment. </w:t>
            </w:r>
          </w:p>
          <w:p w:rsidR="00000000" w:rsidRPr="00A12A69" w:rsidP="00A12A69">
            <w:pPr>
              <w:pStyle w:val="BodyText"/>
            </w:pPr>
            <w:r w:rsidRPr="00A12A69">
              <w:t>Assessors must also hold the occupational licence for the jurisdiction the assessment is occurrin</w:t>
            </w:r>
            <w:r w:rsidRPr="00A12A69">
              <w:t>g where the activity being assessed requires a licence to practice.</w:t>
            </w:r>
          </w:p>
          <w:p w:rsidR="00000000" w:rsidRPr="00A12A69" w:rsidP="00A12A69">
            <w:pPr>
              <w:pStyle w:val="BodyText"/>
            </w:pPr>
            <w:r w:rsidRPr="00A12A69">
              <w:t>Assessment must satisfy the Principles of Assessment and Rules of Evidence and all regulatory requirements included within the Standards for Registered Training Organisations current at th</w:t>
            </w:r>
            <w:r w:rsidRPr="00A12A69">
              <w:t>e time of assessment.</w:t>
            </w:r>
          </w:p>
          <w:p w:rsidR="00000000" w:rsidRPr="00A12A69" w:rsidP="00A12A69">
            <w:pPr>
              <w:pStyle w:val="BodyText"/>
            </w:pPr>
            <w:r w:rsidRPr="00A12A69">
              <w:t xml:space="preserve">Assessment must occur in suitable workplace operational situations where it is appropriate to do so, where this is not appropriate, assessment must occur in suitable simulated workplace operational situations that replicate workplace </w:t>
            </w:r>
            <w:r w:rsidRPr="00A12A69">
              <w:t>conditions.</w:t>
            </w:r>
          </w:p>
          <w:p w:rsidR="00000000" w:rsidRPr="00A12A69" w:rsidP="00A12A69">
            <w:pPr>
              <w:pStyle w:val="BodyText"/>
            </w:pPr>
            <w:r w:rsidRPr="00A12A69">
              <w:t>Assessment processes and techniques must be appropriate to the language, literacy and numeracy requirements of the work being performed and the needs of the candidate.</w:t>
            </w:r>
          </w:p>
          <w:p w:rsidR="00000000" w:rsidRPr="00A12A69" w:rsidP="00A12A69">
            <w:pPr>
              <w:pStyle w:val="BodyText"/>
            </w:pPr>
            <w:r w:rsidRPr="00A12A69">
              <w:t>Resources for assessment must include access to:</w:t>
            </w:r>
          </w:p>
          <w:p w:rsidR="00000000" w:rsidRPr="00A12A69" w:rsidP="00A12A69">
            <w:pPr>
              <w:pStyle w:val="ListBullet"/>
            </w:pPr>
            <w:r w:rsidRPr="00A12A69">
              <w:t>a range of relevant exerci</w:t>
            </w:r>
            <w:r w:rsidRPr="00A12A69">
              <w:t>ses, case studies and/or other simulations</w:t>
            </w:r>
          </w:p>
          <w:p w:rsidR="00000000" w:rsidRPr="00A12A69" w:rsidP="00A12A69">
            <w:pPr>
              <w:pStyle w:val="ListBullet"/>
            </w:pPr>
            <w:r w:rsidRPr="00A12A69">
              <w:t>relevant and appropriate materials, tools, facilities, equipment and personal protective equipment (PPE) currently used in industry</w:t>
            </w:r>
          </w:p>
          <w:p w:rsidR="00000000" w:rsidRPr="00A12A69" w:rsidP="00A12A69">
            <w:pPr>
              <w:pStyle w:val="ListBullet"/>
            </w:pPr>
            <w:r w:rsidRPr="00A12A69">
              <w:t>applicable documentation, including workplace procedures, equipment specification</w:t>
            </w:r>
            <w:r w:rsidRPr="00A12A69">
              <w:t>s, regulations, relevant industry standards, codes of practice and operation manuals.</w:t>
            </w:r>
          </w:p>
          <w:p w:rsidR="00000000" w:rsidRPr="00A12A69" w:rsidP="00A12A69">
            <w:pPr>
              <w:pStyle w:val="BodyText"/>
            </w:pPr>
            <w:r w:rsidRPr="00A12A69">
              <w:t>In addition, evidence of Performance Evidence items of this unit marked with a hash (#) must be gathered in authentic workplace operational conditions (not simulated) bef</w:t>
            </w:r>
            <w:r w:rsidRPr="00A12A69">
              <w:t>ore final determination of competence in this unit can be made.</w:t>
            </w:r>
          </w:p>
        </w:tc>
      </w:tr>
    </w:tbl>
    <w:p w:rsidR="00000000" w:rsidRPr="00A12A69" w:rsidP="00A12A69">
      <w:pPr>
        <w:pStyle w:val="NoPaddingFontSize1"/>
      </w:pPr>
    </w:p>
    <w:p w:rsidR="00000000" w:rsidRPr="00A12A69" w:rsidP="00A12A69">
      <w:pPr>
        <w:pStyle w:val="AllowPageBreak"/>
      </w:pPr>
    </w:p>
    <w:p w:rsidR="00000000" w:rsidRPr="00A12A69" w:rsidP="00A12A69">
      <w:pPr>
        <w:pStyle w:val="Heading1"/>
      </w:pPr>
      <w:bookmarkStart w:id="15" w:name="O_1238129"/>
      <w:bookmarkEnd w:id="15"/>
      <w:r w:rsidRPr="00A12A69">
        <w:t>Links</w:t>
      </w:r>
    </w:p>
    <w:p w:rsidR="00000000" w:rsidRPr="00A12A69" w:rsidP="00F22167">
      <w:pPr>
        <w:pStyle w:val="BodyText"/>
      </w:pPr>
      <w:r w:rsidRPr="00A12A6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85804">
        <w:rPr>
          <w:rStyle w:val="Hyperlink"/>
        </w:rPr>
        <w:t>https://vetnet.gov.au/Pages/TrainingDocs.aspx?q=b8a8f136-5421-4ce1-92e0-2b50341431b6</w:t>
      </w:r>
      <w:r>
        <w:fldChar w:fldCharType="end"/>
      </w:r>
    </w:p>
    <w:p w:rsidR="00000000" w:rsidRPr="00A12A69" w:rsidP="00A12A69"/>
    <w:sectPr w:rsidSect="00A12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rsidRPr="00F22167" w:rsidP="00F22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7" w:rsidP="00A12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2167" w:rsidP="00A12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2167" w:rsidP="00A12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rsidP="00A12A69">
    <w:pPr>
      <w:pStyle w:val="Footer"/>
      <w:framePr w:wrap="around"/>
    </w:pPr>
    <w:r>
      <w:fldChar w:fldCharType="begin"/>
    </w:r>
    <w:r>
      <w:instrText xml:space="preserve"> DOCPROPERTY  Subject  \* MERGEFORMAT </w:instrText>
    </w:r>
    <w:r>
      <w:fldChar w:fldCharType="separate"/>
    </w:r>
    <w:r w:rsidR="00F22167">
      <w:t>Approved</w:t>
    </w:r>
    <w:r w:rsidR="00F22167">
      <w:fldChar w:fldCharType="end"/>
    </w:r>
    <w:r>
      <w:tab/>
      <w:t xml:space="preserve">Page </w:t>
    </w:r>
    <w:r>
      <w:fldChar w:fldCharType="begin"/>
    </w:r>
    <w:r>
      <w:instrText xml:space="preserve"> PAGE  \* Arabic  \* MERGEFORMAT </w:instrText>
    </w:r>
    <w:r>
      <w:fldChar w:fldCharType="separate"/>
    </w:r>
    <w:r w:rsidR="00F221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2167">
      <w:rPr>
        <w:noProof/>
      </w:rPr>
      <w:t>6</w:t>
    </w:r>
    <w:r>
      <w:rPr>
        <w:noProof/>
      </w:rPr>
      <w:fldChar w:fldCharType="end"/>
    </w:r>
  </w:p>
  <w:p w:rsidR="00A12A69" w:rsidP="00A12A69">
    <w:pPr>
      <w:pStyle w:val="Footer"/>
      <w:framePr w:wrap="around"/>
    </w:pPr>
    <w:r>
      <w:t xml:space="preserve">© Commonwealth of Australia, </w:t>
    </w:r>
    <w:r>
      <w:fldChar w:fldCharType="begin"/>
    </w:r>
    <w:r>
      <w:instrText xml:space="preserve"> DATE  \@ "yyyy"  \* MERGEFORMAT </w:instrText>
    </w:r>
    <w:r>
      <w:fldChar w:fldCharType="separate"/>
    </w:r>
    <w:r w:rsidR="00F22167">
      <w:rPr>
        <w:noProof/>
      </w:rPr>
      <w:t>2025</w:t>
    </w:r>
    <w:r>
      <w:fldChar w:fldCharType="end"/>
    </w:r>
    <w:r>
      <w:tab/>
    </w:r>
    <w:r>
      <w:fldChar w:fldCharType="begin"/>
    </w:r>
    <w:r>
      <w:instrText xml:space="preserve"> DOCPROPERTY  Author  \* MERGEFORMAT </w:instrText>
    </w:r>
    <w:r>
      <w:fldChar w:fldCharType="separate"/>
    </w:r>
    <w:r w:rsidR="00F22167">
      <w:t>Powering Skills Organisation</w:t>
    </w:r>
    <w:r w:rsidR="00F22167">
      <w:fldChar w:fldCharType="end"/>
    </w:r>
  </w:p>
  <w:p w:rsidR="00A12A69" w:rsidP="00A12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A69" w:rsidRPr="00F22167" w:rsidP="00F22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67" w:rsidRPr="002D2AF8" w:rsidP="00A12A69">
    <w:pPr>
      <w:pStyle w:val="Header"/>
      <w:framePr w:wrap="around"/>
    </w:pPr>
    <w:r>
      <w:fldChar w:fldCharType="begin"/>
    </w:r>
    <w:r>
      <w:instrText xml:space="preserve"> TITLE   \* MERGEFORMAT </w:instrText>
    </w:r>
    <w:r>
      <w:fldChar w:fldCharType="separate"/>
    </w:r>
    <w:r>
      <w:t>UEEEL0023 Terminate cables, cords and accessories for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2167" w:rsidP="00A12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69" w:rsidRPr="002D2AF8" w:rsidP="00A12A69">
    <w:pPr>
      <w:pStyle w:val="Header"/>
      <w:framePr w:wrap="around"/>
    </w:pPr>
    <w:r>
      <w:fldChar w:fldCharType="begin"/>
    </w:r>
    <w:r>
      <w:instrText xml:space="preserve"> TITLE   \* MERGEFORMAT </w:instrText>
    </w:r>
    <w:r>
      <w:fldChar w:fldCharType="separate"/>
    </w:r>
    <w:r w:rsidR="00F22167">
      <w:t>UEEEL0023 Terminate cables, cords and accessories for low voltage circuits</w:t>
    </w:r>
    <w:r w:rsidR="00F22167">
      <w:fldChar w:fldCharType="end"/>
    </w:r>
    <w:r>
      <w:tab/>
      <w:t xml:space="preserve">Date this document was generated: </w:t>
    </w:r>
    <w:r>
      <w:fldChar w:fldCharType="begin"/>
    </w:r>
    <w:r>
      <w:instrText xml:space="preserve"> CREATEDATE  \@ "d MMMM yyyy"  \* MERGEFORMAT </w:instrText>
    </w:r>
    <w:r>
      <w:fldChar w:fldCharType="separate"/>
    </w:r>
    <w:r w:rsidR="00F22167">
      <w:rPr>
        <w:noProof/>
      </w:rPr>
      <w:t>2 March 2025</w:t>
    </w:r>
    <w:r>
      <w:fldChar w:fldCharType="end"/>
    </w:r>
  </w:p>
  <w:p w:rsidR="00A12A69" w:rsidP="00A12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A7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EE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2E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A69"/>
    <w:pPr>
      <w:spacing w:before="360" w:after="60"/>
      <w:outlineLvl w:val="0"/>
    </w:pPr>
    <w:rPr>
      <w:sz w:val="32"/>
    </w:rPr>
  </w:style>
  <w:style w:type="paragraph" w:styleId="Heading2">
    <w:name w:val="heading 2"/>
    <w:basedOn w:val="HeadingBase"/>
    <w:next w:val="BodyText"/>
    <w:link w:val="Heading2Char"/>
    <w:qFormat/>
    <w:rsid w:val="00A12A69"/>
    <w:pPr>
      <w:keepLines/>
      <w:spacing w:before="240" w:after="120"/>
      <w:outlineLvl w:val="1"/>
    </w:pPr>
    <w:rPr>
      <w:sz w:val="28"/>
      <w:szCs w:val="40"/>
    </w:rPr>
  </w:style>
  <w:style w:type="paragraph" w:styleId="Heading3">
    <w:name w:val="heading 3"/>
    <w:basedOn w:val="HeadingBase"/>
    <w:next w:val="BodyText"/>
    <w:link w:val="Heading3Char"/>
    <w:qFormat/>
    <w:rsid w:val="00A12A69"/>
    <w:pPr>
      <w:spacing w:before="180" w:after="120"/>
      <w:outlineLvl w:val="2"/>
    </w:pPr>
    <w:rPr>
      <w:spacing w:val="-10"/>
      <w:kern w:val="32"/>
    </w:rPr>
  </w:style>
  <w:style w:type="paragraph" w:styleId="Heading4">
    <w:name w:val="heading 4"/>
    <w:basedOn w:val="HeadingBase"/>
    <w:next w:val="BodyText"/>
    <w:link w:val="Heading4Char"/>
    <w:qFormat/>
    <w:rsid w:val="00A12A69"/>
    <w:pPr>
      <w:spacing w:before="160" w:after="120"/>
      <w:outlineLvl w:val="3"/>
    </w:pPr>
    <w:rPr>
      <w:sz w:val="22"/>
    </w:rPr>
  </w:style>
  <w:style w:type="paragraph" w:styleId="Heading5">
    <w:name w:val="heading 5"/>
    <w:basedOn w:val="HeadingBase"/>
    <w:next w:val="Normal"/>
    <w:link w:val="Heading5Char"/>
    <w:qFormat/>
    <w:rsid w:val="00A12A69"/>
    <w:pPr>
      <w:spacing w:before="80"/>
      <w:outlineLvl w:val="4"/>
    </w:pPr>
    <w:rPr>
      <w:color w:val="918585"/>
      <w:sz w:val="20"/>
    </w:rPr>
  </w:style>
  <w:style w:type="paragraph" w:styleId="Heading6">
    <w:name w:val="heading 6"/>
    <w:basedOn w:val="HeadingBase"/>
    <w:next w:val="Normal"/>
    <w:link w:val="Heading6Char"/>
    <w:qFormat/>
    <w:rsid w:val="00A12A69"/>
    <w:pPr>
      <w:spacing w:before="60"/>
      <w:outlineLvl w:val="5"/>
    </w:pPr>
    <w:rPr>
      <w:color w:val="918585"/>
      <w:sz w:val="20"/>
    </w:rPr>
  </w:style>
  <w:style w:type="paragraph" w:styleId="Heading7">
    <w:name w:val="heading 7"/>
    <w:basedOn w:val="Normal"/>
    <w:next w:val="Normal"/>
    <w:link w:val="Heading7Char"/>
    <w:qFormat/>
    <w:rsid w:val="00A12A69"/>
    <w:pPr>
      <w:ind w:left="720"/>
      <w:outlineLvl w:val="6"/>
    </w:pPr>
    <w:rPr>
      <w:i/>
    </w:rPr>
  </w:style>
  <w:style w:type="paragraph" w:styleId="Heading8">
    <w:name w:val="heading 8"/>
    <w:basedOn w:val="Normal"/>
    <w:next w:val="Normal"/>
    <w:link w:val="Heading8Char"/>
    <w:qFormat/>
    <w:rsid w:val="00A12A69"/>
    <w:pPr>
      <w:ind w:left="720"/>
      <w:outlineLvl w:val="7"/>
    </w:pPr>
    <w:rPr>
      <w:i/>
    </w:rPr>
  </w:style>
  <w:style w:type="paragraph" w:styleId="Heading9">
    <w:name w:val="heading 9"/>
    <w:basedOn w:val="Normal"/>
    <w:next w:val="Normal"/>
    <w:link w:val="Heading9Char"/>
    <w:qFormat/>
    <w:rsid w:val="00A12A69"/>
    <w:pPr>
      <w:ind w:left="720"/>
      <w:outlineLvl w:val="8"/>
    </w:pPr>
    <w:rPr>
      <w:i/>
    </w:rPr>
  </w:style>
  <w:style w:type="character" w:default="1" w:styleId="DefaultParagraphFont">
    <w:name w:val="Default Paragraph Font"/>
    <w:uiPriority w:val="1"/>
    <w:unhideWhenUsed/>
    <w:rsid w:val="00A12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A69"/>
  </w:style>
  <w:style w:type="character" w:customStyle="1" w:styleId="Heading1Char">
    <w:name w:val="Heading 1 Char"/>
    <w:basedOn w:val="DefaultParagraphFont"/>
    <w:link w:val="Heading1"/>
    <w:rsid w:val="00A12A69"/>
    <w:rPr>
      <w:rFonts w:ascii="Times New Roman" w:eastAsia="Times New Roman" w:hAnsi="Times New Roman" w:cs="Times New Roman"/>
      <w:b/>
      <w:sz w:val="32"/>
      <w:szCs w:val="20"/>
      <w:lang w:eastAsia="en-US"/>
    </w:rPr>
  </w:style>
  <w:style w:type="paragraph" w:styleId="BodyText">
    <w:name w:val="Body Text"/>
    <w:basedOn w:val="Normal"/>
    <w:link w:val="BodyTextChar"/>
    <w:rsid w:val="00A12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A69"/>
    <w:rPr>
      <w:rFonts w:ascii="Times New Roman" w:eastAsia="Times New Roman" w:hAnsi="Times New Roman" w:cs="Times New Roman"/>
      <w:sz w:val="24"/>
      <w:lang w:eastAsia="en-US"/>
    </w:rPr>
  </w:style>
  <w:style w:type="paragraph" w:styleId="ListBullet">
    <w:name w:val="List Bullet"/>
    <w:basedOn w:val="List"/>
    <w:rsid w:val="00A12A69"/>
    <w:pPr>
      <w:numPr>
        <w:numId w:val="12"/>
      </w:numPr>
      <w:tabs>
        <w:tab w:val="clear" w:pos="340"/>
      </w:tabs>
      <w:spacing w:before="40" w:after="40"/>
    </w:pPr>
  </w:style>
  <w:style w:type="character" w:customStyle="1" w:styleId="SpecialBold">
    <w:name w:val="Special Bold"/>
    <w:basedOn w:val="DefaultParagraphFont"/>
    <w:rsid w:val="00A12A69"/>
    <w:rPr>
      <w:b/>
      <w:spacing w:val="0"/>
    </w:rPr>
  </w:style>
  <w:style w:type="paragraph" w:styleId="ListBullet2">
    <w:name w:val="List Bullet 2"/>
    <w:basedOn w:val="List2"/>
    <w:rsid w:val="00A12A69"/>
    <w:pPr>
      <w:numPr>
        <w:numId w:val="13"/>
      </w:numPr>
      <w:tabs>
        <w:tab w:val="clear" w:pos="680"/>
      </w:tabs>
    </w:pPr>
  </w:style>
  <w:style w:type="paragraph" w:customStyle="1" w:styleId="SuperHeading">
    <w:name w:val="SuperHeading"/>
    <w:basedOn w:val="Normal"/>
    <w:rsid w:val="00A12A69"/>
    <w:pPr>
      <w:spacing w:before="240" w:after="120"/>
      <w:outlineLvl w:val="0"/>
    </w:pPr>
    <w:rPr>
      <w:rFonts w:ascii="Times New Roman" w:hAnsi="Times New Roman"/>
      <w:b/>
      <w:sz w:val="32"/>
    </w:rPr>
  </w:style>
  <w:style w:type="paragraph" w:customStyle="1" w:styleId="AllowPageBreak">
    <w:name w:val="AllowPageBreak"/>
    <w:rsid w:val="00A12A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2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A69"/>
    <w:rPr>
      <w:rFonts w:ascii="Courier New" w:eastAsia="Times New Roman" w:hAnsi="Courier New" w:cs="Times New Roman"/>
      <w:i/>
      <w:szCs w:val="20"/>
      <w:lang w:eastAsia="en-US"/>
    </w:rPr>
  </w:style>
  <w:style w:type="paragraph" w:customStyle="1" w:styleId="HeadingBase">
    <w:name w:val="Heading Base"/>
    <w:rsid w:val="00A12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A69"/>
    <w:pPr>
      <w:tabs>
        <w:tab w:val="right" w:leader="dot" w:pos="9072"/>
      </w:tabs>
      <w:ind w:left="567"/>
    </w:pPr>
    <w:rPr>
      <w:szCs w:val="22"/>
    </w:rPr>
  </w:style>
  <w:style w:type="paragraph" w:customStyle="1" w:styleId="TOCBase">
    <w:name w:val="TOC Base"/>
    <w:rsid w:val="00A12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A69"/>
    <w:pPr>
      <w:tabs>
        <w:tab w:val="right" w:leader="dot" w:pos="9072"/>
      </w:tabs>
      <w:spacing w:before="40" w:after="40"/>
      <w:ind w:left="284"/>
    </w:pPr>
    <w:rPr>
      <w:rFonts w:ascii="Times New Roman" w:hAnsi="Times New Roman"/>
    </w:rPr>
  </w:style>
  <w:style w:type="paragraph" w:styleId="TOC1">
    <w:name w:val="toc 1"/>
    <w:basedOn w:val="TOCBase"/>
    <w:next w:val="Normal"/>
    <w:rsid w:val="00A12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A69"/>
    <w:rPr>
      <w:rFonts w:ascii="Times New Roman" w:eastAsia="Times New Roman" w:hAnsi="Times New Roman" w:cs="Times New Roman"/>
      <w:sz w:val="16"/>
      <w:lang w:eastAsia="en-US"/>
    </w:rPr>
  </w:style>
  <w:style w:type="paragraph" w:styleId="Title">
    <w:name w:val="Title"/>
    <w:basedOn w:val="HeadingBase"/>
    <w:link w:val="TitleChar"/>
    <w:qFormat/>
    <w:rsid w:val="00A12A69"/>
    <w:pPr>
      <w:spacing w:before="5040"/>
      <w:jc w:val="center"/>
    </w:pPr>
    <w:rPr>
      <w:sz w:val="48"/>
      <w:szCs w:val="72"/>
      <w:lang w:val="en-US"/>
    </w:rPr>
  </w:style>
  <w:style w:type="character" w:customStyle="1" w:styleId="TitleChar">
    <w:name w:val="Title Char"/>
    <w:basedOn w:val="DefaultParagraphFont"/>
    <w:link w:val="Title"/>
    <w:rsid w:val="00A12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A69"/>
    <w:pPr>
      <w:tabs>
        <w:tab w:val="left" w:pos="3600"/>
        <w:tab w:val="left" w:pos="3958"/>
      </w:tabs>
    </w:pPr>
  </w:style>
  <w:style w:type="paragraph" w:styleId="List">
    <w:name w:val="List"/>
    <w:basedOn w:val="BodyText"/>
    <w:next w:val="BodyText"/>
    <w:rsid w:val="00A12A69"/>
    <w:pPr>
      <w:tabs>
        <w:tab w:val="left" w:pos="340"/>
      </w:tabs>
      <w:spacing w:before="60" w:after="60"/>
      <w:ind w:left="340" w:hanging="340"/>
    </w:pPr>
  </w:style>
  <w:style w:type="paragraph" w:customStyle="1" w:styleId="Note">
    <w:name w:val="Note"/>
    <w:basedOn w:val="BodyText"/>
    <w:rsid w:val="00A12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A69"/>
    <w:pPr>
      <w:framePr w:wrap="auto" w:hAnchor="text" w:y="6049"/>
    </w:pPr>
    <w:rPr>
      <w:color w:val="000000"/>
      <w:sz w:val="40"/>
    </w:rPr>
  </w:style>
  <w:style w:type="paragraph" w:customStyle="1" w:styleId="TOCTitle">
    <w:name w:val="TOCTitle"/>
    <w:basedOn w:val="Heading1"/>
    <w:rsid w:val="00A12A69"/>
    <w:pPr>
      <w:spacing w:after="240"/>
      <w:jc w:val="center"/>
      <w:outlineLvl w:val="9"/>
    </w:pPr>
    <w:rPr>
      <w:caps/>
    </w:rPr>
  </w:style>
  <w:style w:type="paragraph" w:customStyle="1" w:styleId="Version">
    <w:name w:val="Version"/>
    <w:rsid w:val="00A12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A69"/>
    <w:pPr>
      <w:keepNext w:val="0"/>
      <w:tabs>
        <w:tab w:val="right" w:pos="4176"/>
      </w:tabs>
      <w:ind w:left="198" w:hanging="198"/>
    </w:pPr>
    <w:rPr>
      <w:rFonts w:ascii="Garamond" w:hAnsi="Garamond"/>
    </w:rPr>
  </w:style>
  <w:style w:type="paragraph" w:styleId="IndexHeading">
    <w:name w:val="index heading"/>
    <w:basedOn w:val="Normal"/>
    <w:next w:val="Index1"/>
    <w:semiHidden/>
    <w:rsid w:val="00A12A69"/>
    <w:pPr>
      <w:spacing w:before="120" w:after="120"/>
    </w:pPr>
    <w:rPr>
      <w:rFonts w:ascii="Arial" w:hAnsi="Arial"/>
      <w:b/>
      <w:color w:val="918585"/>
      <w:sz w:val="24"/>
    </w:rPr>
  </w:style>
  <w:style w:type="paragraph" w:styleId="Header">
    <w:name w:val="header"/>
    <w:basedOn w:val="Normal"/>
    <w:link w:val="HeaderChar"/>
    <w:rsid w:val="00A12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A69"/>
    <w:rPr>
      <w:rFonts w:ascii="Times New Roman" w:eastAsia="Times New Roman" w:hAnsi="Times New Roman" w:cs="Times New Roman"/>
      <w:sz w:val="16"/>
      <w:szCs w:val="20"/>
      <w:lang w:val="en-GB" w:eastAsia="en-US"/>
    </w:rPr>
  </w:style>
  <w:style w:type="paragraph" w:customStyle="1" w:styleId="Chapter">
    <w:name w:val="Chapter"/>
    <w:basedOn w:val="Normal"/>
    <w:rsid w:val="00A12A69"/>
    <w:pPr>
      <w:spacing w:before="240"/>
    </w:pPr>
    <w:rPr>
      <w:rFonts w:ascii="Times New Roman" w:hAnsi="Times New Roman"/>
      <w:smallCaps/>
      <w:spacing w:val="80"/>
      <w:sz w:val="28"/>
    </w:rPr>
  </w:style>
  <w:style w:type="paragraph" w:customStyle="1" w:styleId="InChapter">
    <w:name w:val="InChapter"/>
    <w:basedOn w:val="Heading3"/>
    <w:rsid w:val="00A12A69"/>
    <w:pPr>
      <w:spacing w:after="240"/>
      <w:outlineLvl w:val="9"/>
    </w:pPr>
    <w:rPr>
      <w:noProof/>
    </w:rPr>
  </w:style>
  <w:style w:type="paragraph" w:styleId="Index2">
    <w:name w:val="index 2"/>
    <w:basedOn w:val="Normal"/>
    <w:next w:val="Normal"/>
    <w:semiHidden/>
    <w:rsid w:val="00A12A69"/>
    <w:pPr>
      <w:tabs>
        <w:tab w:val="right" w:pos="4176"/>
      </w:tabs>
      <w:ind w:left="568" w:hanging="284"/>
    </w:pPr>
    <w:rPr>
      <w:rFonts w:ascii="Garamond" w:hAnsi="Garamond"/>
    </w:rPr>
  </w:style>
  <w:style w:type="paragraph" w:customStyle="1" w:styleId="Byline">
    <w:name w:val="Byline"/>
    <w:rsid w:val="00A12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A69"/>
    <w:pPr>
      <w:tabs>
        <w:tab w:val="clear" w:pos="3600"/>
        <w:tab w:val="clear" w:pos="3958"/>
      </w:tabs>
      <w:jc w:val="right"/>
    </w:pPr>
  </w:style>
  <w:style w:type="character" w:styleId="Emphasis">
    <w:name w:val="Emphasis"/>
    <w:basedOn w:val="DefaultParagraphFont"/>
    <w:qFormat/>
    <w:rsid w:val="00A12A69"/>
    <w:rPr>
      <w:i/>
    </w:rPr>
  </w:style>
  <w:style w:type="paragraph" w:styleId="Caption">
    <w:name w:val="caption"/>
    <w:basedOn w:val="BodyText"/>
    <w:next w:val="Normal"/>
    <w:qFormat/>
    <w:rsid w:val="00A12A69"/>
    <w:pPr>
      <w:framePr w:w="2268" w:hSpace="181" w:vSpace="181" w:wrap="around" w:vAnchor="text" w:hAnchor="page" w:x="1135" w:y="285" w:anchorLock="1"/>
    </w:pPr>
    <w:rPr>
      <w:i/>
    </w:rPr>
  </w:style>
  <w:style w:type="paragraph" w:customStyle="1" w:styleId="MiniTOCTitle">
    <w:name w:val="MiniTOCTitle"/>
    <w:basedOn w:val="Heading4"/>
    <w:rsid w:val="00A12A69"/>
    <w:pPr>
      <w:spacing w:before="240"/>
      <w:outlineLvl w:val="9"/>
    </w:pPr>
    <w:rPr>
      <w:noProof/>
      <w:sz w:val="24"/>
    </w:rPr>
  </w:style>
  <w:style w:type="paragraph" w:customStyle="1" w:styleId="MiniTOCItem">
    <w:name w:val="MiniTOCItem"/>
    <w:basedOn w:val="ListBullet"/>
    <w:rsid w:val="00A12A69"/>
    <w:pPr>
      <w:numPr>
        <w:numId w:val="0"/>
      </w:numPr>
      <w:tabs>
        <w:tab w:val="right" w:leader="dot" w:pos="6521"/>
      </w:tabs>
      <w:spacing w:before="0" w:after="0"/>
    </w:pPr>
  </w:style>
  <w:style w:type="paragraph" w:customStyle="1" w:styleId="TOFTitle">
    <w:name w:val="TOFTitle"/>
    <w:basedOn w:val="TOCTitle"/>
    <w:rsid w:val="00A12A69"/>
  </w:style>
  <w:style w:type="paragraph" w:styleId="TableofFigures">
    <w:name w:val="table of figures"/>
    <w:basedOn w:val="Normal"/>
    <w:next w:val="Normal"/>
    <w:semiHidden/>
    <w:rsid w:val="00A12A69"/>
    <w:pPr>
      <w:tabs>
        <w:tab w:val="right" w:leader="dot" w:pos="9072"/>
      </w:tabs>
      <w:ind w:left="970" w:hanging="403"/>
    </w:pPr>
    <w:rPr>
      <w:rFonts w:ascii="Times New Roman" w:hAnsi="Times New Roman"/>
      <w:b/>
    </w:rPr>
  </w:style>
  <w:style w:type="paragraph" w:styleId="ListNumber">
    <w:name w:val="List Number"/>
    <w:basedOn w:val="List"/>
    <w:rsid w:val="00A12A69"/>
    <w:pPr>
      <w:numPr>
        <w:numId w:val="15"/>
      </w:numPr>
      <w:tabs>
        <w:tab w:val="clear" w:pos="340"/>
      </w:tabs>
    </w:pPr>
  </w:style>
  <w:style w:type="character" w:customStyle="1" w:styleId="WingdingSymbols">
    <w:name w:val="Wingding Symbols"/>
    <w:rsid w:val="00A12A69"/>
    <w:rPr>
      <w:rFonts w:ascii="Wingdings" w:hAnsi="Wingdings"/>
    </w:rPr>
  </w:style>
  <w:style w:type="paragraph" w:customStyle="1" w:styleId="TableHeading">
    <w:name w:val="Table Heading"/>
    <w:basedOn w:val="HeadingBase"/>
    <w:rsid w:val="00A12A69"/>
    <w:pPr>
      <w:keepLines/>
      <w:pBdr>
        <w:bottom w:val="single" w:sz="6" w:space="1" w:color="918585"/>
      </w:pBdr>
      <w:spacing w:before="240"/>
    </w:pPr>
  </w:style>
  <w:style w:type="character" w:customStyle="1" w:styleId="HotSpot">
    <w:name w:val="HotSpot"/>
    <w:rsid w:val="00A12A69"/>
    <w:rPr>
      <w:color w:val="0033CC"/>
      <w:u w:val="none"/>
    </w:rPr>
  </w:style>
  <w:style w:type="paragraph" w:customStyle="1" w:styleId="BodyTextRight">
    <w:name w:val="Body Text Right"/>
    <w:basedOn w:val="BodyText"/>
    <w:rsid w:val="00A12A69"/>
    <w:pPr>
      <w:spacing w:before="0" w:after="0"/>
      <w:jc w:val="right"/>
    </w:pPr>
  </w:style>
  <w:style w:type="paragraph" w:styleId="Index3">
    <w:name w:val="index 3"/>
    <w:basedOn w:val="ListNumber2"/>
    <w:next w:val="Normal"/>
    <w:semiHidden/>
    <w:rsid w:val="00A12A69"/>
    <w:pPr>
      <w:numPr>
        <w:numId w:val="0"/>
      </w:numPr>
      <w:tabs>
        <w:tab w:val="right" w:leader="dot" w:pos="4176"/>
      </w:tabs>
    </w:pPr>
  </w:style>
  <w:style w:type="paragraph" w:styleId="ListNumber2">
    <w:name w:val="List Number 2"/>
    <w:basedOn w:val="List2"/>
    <w:rsid w:val="00A12A69"/>
    <w:pPr>
      <w:numPr>
        <w:numId w:val="10"/>
      </w:numPr>
      <w:tabs>
        <w:tab w:val="clear" w:pos="1060"/>
      </w:tabs>
    </w:pPr>
  </w:style>
  <w:style w:type="paragraph" w:customStyle="1" w:styleId="MarginNote">
    <w:name w:val="Margin Note"/>
    <w:basedOn w:val="BodyText"/>
    <w:rsid w:val="00A12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A69"/>
    <w:rPr>
      <w:sz w:val="32"/>
    </w:rPr>
  </w:style>
  <w:style w:type="paragraph" w:customStyle="1" w:styleId="HeadingProcedure">
    <w:name w:val="Heading Procedure"/>
    <w:basedOn w:val="HeadingBase"/>
    <w:next w:val="Normal"/>
    <w:rsid w:val="00A12A69"/>
    <w:pPr>
      <w:tabs>
        <w:tab w:val="left" w:pos="0"/>
      </w:tabs>
      <w:spacing w:before="120" w:after="60"/>
    </w:pPr>
    <w:rPr>
      <w:i/>
      <w:color w:val="918585"/>
      <w:sz w:val="22"/>
    </w:rPr>
  </w:style>
  <w:style w:type="paragraph" w:customStyle="1" w:styleId="TableBodyText">
    <w:name w:val="Table Body Text"/>
    <w:basedOn w:val="BodyText"/>
    <w:rsid w:val="00A12A69"/>
    <w:pPr>
      <w:spacing w:before="60" w:after="60"/>
    </w:pPr>
  </w:style>
  <w:style w:type="paragraph" w:styleId="ListContinue">
    <w:name w:val="List Continue"/>
    <w:basedOn w:val="List"/>
    <w:rsid w:val="00A12A69"/>
    <w:pPr>
      <w:ind w:firstLine="0"/>
    </w:pPr>
  </w:style>
  <w:style w:type="paragraph" w:customStyle="1" w:styleId="ListNote">
    <w:name w:val="List Note"/>
    <w:basedOn w:val="List"/>
    <w:rsid w:val="00A12A69"/>
    <w:pPr>
      <w:pBdr>
        <w:top w:val="single" w:sz="6" w:space="2" w:color="918585"/>
        <w:bottom w:val="single" w:sz="6" w:space="2" w:color="918585"/>
      </w:pBdr>
      <w:tabs>
        <w:tab w:val="left" w:pos="1021"/>
      </w:tabs>
      <w:ind w:firstLine="0"/>
    </w:pPr>
  </w:style>
  <w:style w:type="paragraph" w:customStyle="1" w:styleId="Warning">
    <w:name w:val="Warning"/>
    <w:basedOn w:val="BodyText"/>
    <w:rsid w:val="00A12A69"/>
    <w:pPr>
      <w:shd w:val="clear" w:color="auto" w:fill="D9D9D9"/>
      <w:tabs>
        <w:tab w:val="left" w:pos="992"/>
      </w:tabs>
      <w:ind w:left="119" w:right="119"/>
    </w:pPr>
    <w:rPr>
      <w:sz w:val="20"/>
    </w:rPr>
  </w:style>
  <w:style w:type="paragraph" w:customStyle="1" w:styleId="MarginIcons">
    <w:name w:val="Margin Icons"/>
    <w:basedOn w:val="BodyText"/>
    <w:rsid w:val="00A12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A69"/>
    <w:rPr>
      <w:rFonts w:ascii="Courier New" w:hAnsi="Courier New"/>
    </w:rPr>
  </w:style>
  <w:style w:type="paragraph" w:customStyle="1" w:styleId="NoteBullet">
    <w:name w:val="Note Bullet"/>
    <w:basedOn w:val="Note"/>
    <w:rsid w:val="00A12A69"/>
    <w:pPr>
      <w:tabs>
        <w:tab w:val="clear" w:pos="680"/>
      </w:tabs>
      <w:spacing w:before="60" w:after="60"/>
    </w:pPr>
  </w:style>
  <w:style w:type="paragraph" w:customStyle="1" w:styleId="SubHeading2">
    <w:name w:val="SubHeading2"/>
    <w:basedOn w:val="HeadingBase"/>
    <w:rsid w:val="00A12A69"/>
    <w:pPr>
      <w:spacing w:before="240" w:after="60"/>
    </w:pPr>
    <w:rPr>
      <w:sz w:val="20"/>
    </w:rPr>
  </w:style>
  <w:style w:type="paragraph" w:customStyle="1" w:styleId="SubHeading1">
    <w:name w:val="SubHeading1"/>
    <w:basedOn w:val="HeadingBase"/>
    <w:rsid w:val="00A12A69"/>
    <w:pPr>
      <w:spacing w:before="240" w:after="60"/>
    </w:pPr>
    <w:rPr>
      <w:color w:val="918585"/>
      <w:sz w:val="22"/>
    </w:rPr>
  </w:style>
  <w:style w:type="paragraph" w:customStyle="1" w:styleId="SideHeading">
    <w:name w:val="Side Heading"/>
    <w:basedOn w:val="HeadingBase"/>
    <w:rsid w:val="00A12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A69"/>
    <w:pPr>
      <w:tabs>
        <w:tab w:val="num" w:pos="360"/>
      </w:tabs>
    </w:pPr>
  </w:style>
  <w:style w:type="paragraph" w:styleId="PlainText">
    <w:name w:val="Plain Text"/>
    <w:basedOn w:val="Normal"/>
    <w:link w:val="PlainTextChar"/>
    <w:rsid w:val="00A12A69"/>
    <w:rPr>
      <w:sz w:val="20"/>
    </w:rPr>
  </w:style>
  <w:style w:type="character" w:customStyle="1" w:styleId="PlainTextChar">
    <w:name w:val="Plain Text Char"/>
    <w:basedOn w:val="DefaultParagraphFont"/>
    <w:link w:val="PlainText"/>
    <w:rsid w:val="00A12A69"/>
    <w:rPr>
      <w:rFonts w:ascii="Courier New" w:eastAsia="Times New Roman" w:hAnsi="Courier New" w:cs="Times New Roman"/>
      <w:sz w:val="20"/>
      <w:szCs w:val="20"/>
      <w:lang w:eastAsia="en-US"/>
    </w:rPr>
  </w:style>
  <w:style w:type="character" w:customStyle="1" w:styleId="MenuOption">
    <w:name w:val="Menu Option"/>
    <w:basedOn w:val="DefaultParagraphFont"/>
    <w:rsid w:val="00A12A69"/>
    <w:rPr>
      <w:b/>
      <w:smallCaps/>
    </w:rPr>
  </w:style>
  <w:style w:type="paragraph" w:customStyle="1" w:styleId="TableListNumber">
    <w:name w:val="Table List Number"/>
    <w:basedOn w:val="ListNumber"/>
    <w:rsid w:val="00A12A69"/>
    <w:pPr>
      <w:numPr>
        <w:numId w:val="0"/>
      </w:numPr>
    </w:pPr>
  </w:style>
  <w:style w:type="paragraph" w:styleId="TOC4">
    <w:name w:val="toc 4"/>
    <w:basedOn w:val="TOCBase"/>
    <w:next w:val="Normal"/>
    <w:semiHidden/>
    <w:rsid w:val="00A12A69"/>
    <w:pPr>
      <w:tabs>
        <w:tab w:val="right" w:leader="dot" w:pos="9071"/>
      </w:tabs>
      <w:ind w:left="1701"/>
    </w:pPr>
  </w:style>
  <w:style w:type="paragraph" w:customStyle="1" w:styleId="ListAlpha">
    <w:name w:val="List Alpha"/>
    <w:basedOn w:val="List"/>
    <w:rsid w:val="00A12A69"/>
    <w:pPr>
      <w:numPr>
        <w:numId w:val="9"/>
      </w:numPr>
    </w:pPr>
  </w:style>
  <w:style w:type="paragraph" w:customStyle="1" w:styleId="ListAlpha2">
    <w:name w:val="List Alpha 2"/>
    <w:basedOn w:val="List2"/>
    <w:rsid w:val="00A12A69"/>
    <w:pPr>
      <w:numPr>
        <w:numId w:val="8"/>
      </w:numPr>
    </w:pPr>
  </w:style>
  <w:style w:type="paragraph" w:styleId="List2">
    <w:name w:val="List 2"/>
    <w:basedOn w:val="BodyText"/>
    <w:rsid w:val="00A12A69"/>
    <w:pPr>
      <w:tabs>
        <w:tab w:val="left" w:pos="680"/>
      </w:tabs>
      <w:spacing w:before="60" w:after="60"/>
      <w:ind w:left="680" w:hanging="340"/>
    </w:pPr>
  </w:style>
  <w:style w:type="paragraph" w:styleId="List3">
    <w:name w:val="List 3"/>
    <w:basedOn w:val="BodyText"/>
    <w:rsid w:val="00A12A69"/>
    <w:pPr>
      <w:tabs>
        <w:tab w:val="left" w:pos="1021"/>
      </w:tabs>
      <w:spacing w:before="60" w:after="60"/>
      <w:ind w:left="1020" w:hanging="340"/>
    </w:pPr>
  </w:style>
  <w:style w:type="paragraph" w:styleId="List4">
    <w:name w:val="List 4"/>
    <w:basedOn w:val="BodyText"/>
    <w:rsid w:val="00A12A69"/>
    <w:pPr>
      <w:tabs>
        <w:tab w:val="left" w:pos="1361"/>
      </w:tabs>
      <w:spacing w:before="60" w:after="60"/>
      <w:ind w:left="1361" w:hanging="340"/>
    </w:pPr>
  </w:style>
  <w:style w:type="paragraph" w:styleId="List5">
    <w:name w:val="List 5"/>
    <w:basedOn w:val="BodyText"/>
    <w:rsid w:val="00A12A69"/>
    <w:pPr>
      <w:tabs>
        <w:tab w:val="left" w:pos="1701"/>
      </w:tabs>
      <w:spacing w:before="60" w:after="60"/>
      <w:ind w:left="1701" w:hanging="340"/>
    </w:pPr>
  </w:style>
  <w:style w:type="paragraph" w:styleId="ListBullet3">
    <w:name w:val="List Bullet 3"/>
    <w:basedOn w:val="List3"/>
    <w:rsid w:val="00A12A69"/>
    <w:pPr>
      <w:numPr>
        <w:numId w:val="14"/>
      </w:numPr>
      <w:tabs>
        <w:tab w:val="clear" w:pos="1021"/>
      </w:tabs>
      <w:ind w:left="1037" w:hanging="357"/>
    </w:pPr>
  </w:style>
  <w:style w:type="paragraph" w:styleId="ListBullet4">
    <w:name w:val="List Bullet 4"/>
    <w:basedOn w:val="List4"/>
    <w:rsid w:val="00A12A69"/>
    <w:pPr>
      <w:numPr>
        <w:numId w:val="3"/>
      </w:numPr>
      <w:tabs>
        <w:tab w:val="clear" w:pos="1361"/>
      </w:tabs>
    </w:pPr>
  </w:style>
  <w:style w:type="paragraph" w:styleId="ListBullet5">
    <w:name w:val="List Bullet 5"/>
    <w:basedOn w:val="List5"/>
    <w:rsid w:val="00A12A69"/>
    <w:pPr>
      <w:numPr>
        <w:numId w:val="4"/>
      </w:numPr>
    </w:pPr>
  </w:style>
  <w:style w:type="paragraph" w:styleId="ListContinue2">
    <w:name w:val="List Continue 2"/>
    <w:basedOn w:val="List2"/>
    <w:rsid w:val="00A12A69"/>
    <w:pPr>
      <w:ind w:firstLine="0"/>
    </w:pPr>
  </w:style>
  <w:style w:type="paragraph" w:styleId="ListContinue3">
    <w:name w:val="List Continue 3"/>
    <w:basedOn w:val="List3"/>
    <w:rsid w:val="00A12A69"/>
    <w:pPr>
      <w:ind w:left="1021" w:firstLine="0"/>
    </w:pPr>
  </w:style>
  <w:style w:type="paragraph" w:styleId="ListContinue4">
    <w:name w:val="List Continue 4"/>
    <w:basedOn w:val="List4"/>
    <w:rsid w:val="00A12A69"/>
    <w:pPr>
      <w:ind w:firstLine="0"/>
    </w:pPr>
  </w:style>
  <w:style w:type="paragraph" w:styleId="ListContinue5">
    <w:name w:val="List Continue 5"/>
    <w:basedOn w:val="List5"/>
    <w:rsid w:val="00A12A69"/>
    <w:pPr>
      <w:ind w:firstLine="0"/>
    </w:pPr>
  </w:style>
  <w:style w:type="paragraph" w:styleId="ListNumber3">
    <w:name w:val="List Number 3"/>
    <w:basedOn w:val="List3"/>
    <w:rsid w:val="00A12A69"/>
    <w:pPr>
      <w:numPr>
        <w:numId w:val="5"/>
      </w:numPr>
    </w:pPr>
  </w:style>
  <w:style w:type="paragraph" w:styleId="ListNumber4">
    <w:name w:val="List Number 4"/>
    <w:basedOn w:val="List4"/>
    <w:rsid w:val="00A12A69"/>
    <w:pPr>
      <w:numPr>
        <w:numId w:val="6"/>
      </w:numPr>
    </w:pPr>
  </w:style>
  <w:style w:type="paragraph" w:styleId="ListNumber5">
    <w:name w:val="List Number 5"/>
    <w:basedOn w:val="List5"/>
    <w:rsid w:val="00A12A69"/>
    <w:pPr>
      <w:numPr>
        <w:numId w:val="7"/>
      </w:numPr>
    </w:pPr>
  </w:style>
  <w:style w:type="paragraph" w:styleId="BlockText">
    <w:name w:val="Block Text"/>
    <w:basedOn w:val="Normal"/>
    <w:rsid w:val="00A12A69"/>
    <w:pPr>
      <w:spacing w:after="120"/>
      <w:ind w:left="1440" w:right="1440"/>
    </w:pPr>
  </w:style>
  <w:style w:type="character" w:customStyle="1" w:styleId="Subscript">
    <w:name w:val="Subscript"/>
    <w:basedOn w:val="DefaultParagraphFont"/>
    <w:rsid w:val="00A12A69"/>
    <w:rPr>
      <w:sz w:val="16"/>
      <w:vertAlign w:val="subscript"/>
    </w:rPr>
  </w:style>
  <w:style w:type="character" w:customStyle="1" w:styleId="Superscript">
    <w:name w:val="Superscript"/>
    <w:basedOn w:val="DefaultParagraphFont"/>
    <w:rsid w:val="00A12A69"/>
    <w:rPr>
      <w:sz w:val="16"/>
      <w:vertAlign w:val="superscript"/>
    </w:rPr>
  </w:style>
  <w:style w:type="character" w:customStyle="1" w:styleId="Symbols">
    <w:name w:val="Symbols"/>
    <w:basedOn w:val="DefaultParagraphFont"/>
    <w:rsid w:val="00A12A69"/>
    <w:rPr>
      <w:rFonts w:ascii="Symbol" w:hAnsi="Symbol"/>
    </w:rPr>
  </w:style>
  <w:style w:type="character" w:customStyle="1" w:styleId="MenuOptions">
    <w:name w:val="Menu Options"/>
    <w:basedOn w:val="DefaultParagraphFont"/>
    <w:rsid w:val="00A12A69"/>
    <w:rPr>
      <w:rFonts w:ascii="Arial Narrow" w:hAnsi="Arial Narrow"/>
      <w:smallCaps/>
    </w:rPr>
  </w:style>
  <w:style w:type="character" w:customStyle="1" w:styleId="Buttons">
    <w:name w:val="Buttons"/>
    <w:basedOn w:val="DefaultParagraphFont"/>
    <w:rsid w:val="00A12A69"/>
    <w:rPr>
      <w:b/>
    </w:rPr>
  </w:style>
  <w:style w:type="character" w:customStyle="1" w:styleId="Underlined">
    <w:name w:val="Underlined"/>
    <w:basedOn w:val="DefaultParagraphFont"/>
    <w:rsid w:val="00A12A69"/>
    <w:rPr>
      <w:u w:val="single"/>
    </w:rPr>
  </w:style>
  <w:style w:type="paragraph" w:customStyle="1" w:styleId="TableBodyTextRight">
    <w:name w:val="Table Body Text Right"/>
    <w:basedOn w:val="TableBodyText"/>
    <w:rsid w:val="00A12A69"/>
    <w:pPr>
      <w:widowControl w:val="0"/>
      <w:autoSpaceDE w:val="0"/>
      <w:autoSpaceDN w:val="0"/>
      <w:adjustRightInd w:val="0"/>
      <w:jc w:val="right"/>
    </w:pPr>
    <w:rPr>
      <w:rFonts w:cs="Arial"/>
      <w:szCs w:val="18"/>
    </w:rPr>
  </w:style>
  <w:style w:type="paragraph" w:customStyle="1" w:styleId="CopyrightText">
    <w:name w:val="Copyright Text"/>
    <w:basedOn w:val="BodyText"/>
    <w:rsid w:val="00A12A69"/>
    <w:rPr>
      <w:sz w:val="18"/>
    </w:rPr>
  </w:style>
  <w:style w:type="paragraph" w:customStyle="1" w:styleId="BodySmallRight">
    <w:name w:val="Body Small Right"/>
    <w:basedOn w:val="BodyTextRight"/>
    <w:rsid w:val="00A12A69"/>
    <w:rPr>
      <w:sz w:val="18"/>
      <w:szCs w:val="18"/>
    </w:rPr>
  </w:style>
  <w:style w:type="paragraph" w:customStyle="1" w:styleId="MarginEdition">
    <w:name w:val="Margin Edition"/>
    <w:basedOn w:val="MarginNote"/>
    <w:rsid w:val="00A12A69"/>
    <w:pPr>
      <w:spacing w:before="0" w:after="0"/>
    </w:pPr>
    <w:rPr>
      <w:rFonts w:ascii="Times New Roman" w:hAnsi="Times New Roman"/>
      <w:color w:val="999999"/>
    </w:rPr>
  </w:style>
  <w:style w:type="paragraph" w:customStyle="1" w:styleId="Spacer">
    <w:name w:val="Spacer"/>
    <w:basedOn w:val="Normal"/>
    <w:rsid w:val="00A12A69"/>
    <w:rPr>
      <w:sz w:val="2"/>
      <w:szCs w:val="2"/>
    </w:rPr>
  </w:style>
  <w:style w:type="character" w:customStyle="1" w:styleId="Small">
    <w:name w:val="Small"/>
    <w:basedOn w:val="DefaultParagraphFont"/>
    <w:rsid w:val="00A12A69"/>
    <w:rPr>
      <w:sz w:val="16"/>
    </w:rPr>
  </w:style>
  <w:style w:type="paragraph" w:customStyle="1" w:styleId="WideTable">
    <w:name w:val="Wide Table"/>
    <w:basedOn w:val="Normal"/>
    <w:rsid w:val="00A12A69"/>
    <w:pPr>
      <w:ind w:left="-1418"/>
    </w:pPr>
    <w:rPr>
      <w:sz w:val="2"/>
      <w:szCs w:val="2"/>
    </w:rPr>
  </w:style>
  <w:style w:type="character" w:styleId="PageNumber">
    <w:name w:val="page number"/>
    <w:basedOn w:val="DefaultParagraphFont"/>
    <w:rsid w:val="00A12A69"/>
  </w:style>
  <w:style w:type="paragraph" w:styleId="Quote">
    <w:name w:val="Quote"/>
    <w:basedOn w:val="Heading1"/>
    <w:link w:val="QuoteChar"/>
    <w:qFormat/>
    <w:rsid w:val="00A12A69"/>
    <w:rPr>
      <w:b w:val="0"/>
      <w:sz w:val="72"/>
      <w:szCs w:val="72"/>
      <w:lang w:val="en-NZ"/>
    </w:rPr>
  </w:style>
  <w:style w:type="character" w:customStyle="1" w:styleId="QuoteChar">
    <w:name w:val="Quote Char"/>
    <w:basedOn w:val="DefaultParagraphFont"/>
    <w:link w:val="Quote"/>
    <w:rsid w:val="00A12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A69"/>
    <w:pPr>
      <w:pageBreakBefore/>
    </w:pPr>
  </w:style>
  <w:style w:type="paragraph" w:customStyle="1" w:styleId="Border">
    <w:name w:val="Border"/>
    <w:basedOn w:val="Normal"/>
    <w:qFormat/>
    <w:rsid w:val="00A12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A69"/>
    <w:rPr>
      <w:b/>
      <w:bCs/>
      <w:i/>
      <w:iCs/>
      <w:color w:val="auto"/>
    </w:rPr>
  </w:style>
  <w:style w:type="paragraph" w:styleId="IntenseQuote">
    <w:name w:val="Intense Quote"/>
    <w:basedOn w:val="Normal"/>
    <w:next w:val="Normal"/>
    <w:link w:val="IntenseQuoteChar"/>
    <w:uiPriority w:val="30"/>
    <w:qFormat/>
    <w:rsid w:val="00A12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A69"/>
    <w:rPr>
      <w:smallCaps/>
      <w:color w:val="auto"/>
      <w:u w:val="single"/>
    </w:rPr>
  </w:style>
  <w:style w:type="character" w:styleId="IntenseReference">
    <w:name w:val="Intense Reference"/>
    <w:basedOn w:val="DefaultParagraphFont"/>
    <w:uiPriority w:val="32"/>
    <w:qFormat/>
    <w:rsid w:val="00A12A69"/>
    <w:rPr>
      <w:b/>
      <w:bCs/>
      <w:smallCaps/>
      <w:color w:val="auto"/>
      <w:spacing w:val="5"/>
      <w:u w:val="single"/>
    </w:rPr>
  </w:style>
  <w:style w:type="paragraph" w:customStyle="1" w:styleId="2ColumnHeading">
    <w:name w:val="2Column Heading"/>
    <w:basedOn w:val="BodyText"/>
    <w:qFormat/>
    <w:rsid w:val="00A12A69"/>
    <w:pPr>
      <w:spacing w:after="60"/>
      <w:ind w:left="-2268"/>
    </w:pPr>
    <w:rPr>
      <w:b/>
    </w:rPr>
  </w:style>
  <w:style w:type="paragraph" w:customStyle="1" w:styleId="Heading1TOC">
    <w:name w:val="Heading1 TOC"/>
    <w:basedOn w:val="Normal"/>
    <w:qFormat/>
    <w:rsid w:val="00A12A69"/>
    <w:pPr>
      <w:spacing w:before="240" w:after="120"/>
    </w:pPr>
    <w:rPr>
      <w:rFonts w:ascii="Times New Roman" w:hAnsi="Times New Roman"/>
      <w:b/>
      <w:sz w:val="32"/>
    </w:rPr>
  </w:style>
  <w:style w:type="paragraph" w:customStyle="1" w:styleId="Heading2TOC">
    <w:name w:val="Heading2 TOC"/>
    <w:basedOn w:val="Normal"/>
    <w:qFormat/>
    <w:rsid w:val="00A12A69"/>
    <w:pPr>
      <w:spacing w:before="240" w:after="60"/>
    </w:pPr>
    <w:rPr>
      <w:rFonts w:ascii="Times New Roman" w:hAnsi="Times New Roman"/>
      <w:b/>
      <w:sz w:val="28"/>
    </w:rPr>
  </w:style>
  <w:style w:type="character" w:customStyle="1" w:styleId="Underline">
    <w:name w:val="Underline"/>
    <w:basedOn w:val="DefaultParagraphFont"/>
    <w:qFormat/>
    <w:rsid w:val="00A12A69"/>
    <w:rPr>
      <w:u w:val="single"/>
    </w:rPr>
  </w:style>
  <w:style w:type="character" w:customStyle="1" w:styleId="BoldandItalics">
    <w:name w:val="Bold and Italics"/>
    <w:qFormat/>
    <w:rsid w:val="00A12A69"/>
    <w:rPr>
      <w:b/>
      <w:i/>
      <w:u w:val="none"/>
    </w:rPr>
  </w:style>
  <w:style w:type="paragraph" w:styleId="BalloonText">
    <w:name w:val="Balloon Text"/>
    <w:basedOn w:val="Normal"/>
    <w:link w:val="BalloonTextChar"/>
    <w:rsid w:val="00A12A69"/>
    <w:rPr>
      <w:rFonts w:ascii="Tahoma" w:hAnsi="Tahoma" w:cs="Tahoma"/>
      <w:sz w:val="16"/>
      <w:szCs w:val="16"/>
    </w:rPr>
  </w:style>
  <w:style w:type="character" w:customStyle="1" w:styleId="BalloonTextChar">
    <w:name w:val="Balloon Text Char"/>
    <w:basedOn w:val="DefaultParagraphFont"/>
    <w:link w:val="BalloonText"/>
    <w:rsid w:val="00A12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A69"/>
    <w:rPr>
      <w:b/>
      <w:color w:val="660033"/>
      <w:spacing w:val="0"/>
    </w:rPr>
  </w:style>
  <w:style w:type="paragraph" w:customStyle="1" w:styleId="Nameditemlist">
    <w:name w:val="Named item list"/>
    <w:basedOn w:val="BodyText"/>
    <w:qFormat/>
    <w:rsid w:val="00A12A69"/>
    <w:pPr>
      <w:tabs>
        <w:tab w:val="left" w:pos="2835"/>
      </w:tabs>
      <w:ind w:left="2835" w:hanging="2835"/>
    </w:pPr>
  </w:style>
  <w:style w:type="paragraph" w:customStyle="1" w:styleId="BodyTextnopadding">
    <w:name w:val="Body Text no padding"/>
    <w:basedOn w:val="BodyText"/>
    <w:qFormat/>
    <w:rsid w:val="00A12A69"/>
    <w:pPr>
      <w:spacing w:before="0" w:after="0"/>
    </w:pPr>
  </w:style>
  <w:style w:type="paragraph" w:customStyle="1" w:styleId="BodyTextBold">
    <w:name w:val="Body Text Bold"/>
    <w:basedOn w:val="BodyText"/>
    <w:qFormat/>
    <w:rsid w:val="00A12A69"/>
    <w:rPr>
      <w:b/>
    </w:rPr>
  </w:style>
  <w:style w:type="character" w:styleId="Hyperlink">
    <w:name w:val="Hyperlink"/>
    <w:basedOn w:val="DefaultParagraphFont"/>
    <w:uiPriority w:val="99"/>
    <w:unhideWhenUsed/>
    <w:rsid w:val="00F22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11203</Characters>
  <Application>Microsoft Office Word</Application>
  <DocSecurity>0</DocSecurity>
  <Lines>320</Lines>
  <Paragraphs>202</Paragraphs>
  <ScaleCrop>false</ScaleCrop>
  <Company>Author-it Software Corporation Ltd.</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UEEEL0023 Terminate cables, cords and accessories for low voltage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