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853" w:rsidP="00F44853">
      <w:pPr>
        <w:pStyle w:val="Title"/>
      </w:pPr>
      <w:r>
        <w:fldChar w:fldCharType="begin"/>
      </w:r>
      <w:r>
        <w:instrText xml:space="preserve"> TITLE   \* MERGEFORMAT </w:instrText>
      </w:r>
      <w:r>
        <w:fldChar w:fldCharType="separate"/>
      </w:r>
      <w:r>
        <w:t>Assessment Requirements for UEEEL0023 Terminate cables, cords and accessories for low voltage circuits</w:t>
      </w:r>
      <w:r>
        <w:fldChar w:fldCharType="end"/>
      </w:r>
    </w:p>
    <w:p w:rsidR="00F44853" w:rsidP="00F44853">
      <w:pPr>
        <w:pStyle w:val="Version"/>
        <w:sectPr w:rsidSect="00DA3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32AB" w:rsidP="00DA32AB">
      <w:pPr>
        <w:pStyle w:val="SuperHeading"/>
      </w:pPr>
      <w:r w:rsidRPr="00DA32AB">
        <w:t>Assessment Requirements for UEEEL0023 Terminate cables, cords and accessories for low voltage circuits</w:t>
      </w:r>
    </w:p>
    <w:p w:rsidR="00000000" w:rsidRPr="00DA32AB" w:rsidP="00DA32AB">
      <w:pPr>
        <w:pStyle w:val="Heading1"/>
      </w:pPr>
      <w:bookmarkStart w:id="1" w:name="O_1238117"/>
      <w:bookmarkEnd w:id="1"/>
      <w:r w:rsidRPr="00DA32AB">
        <w:t>Modification History</w:t>
      </w:r>
    </w:p>
    <w:tbl>
      <w:tblPr>
        <w:tblW w:w="9497" w:type="dxa"/>
        <w:tblLayout w:type="fixed"/>
        <w:tblCellMar>
          <w:left w:w="62" w:type="dxa"/>
          <w:right w:w="62" w:type="dxa"/>
        </w:tblCellMar>
        <w:tblLook w:val="0000"/>
      </w:tblPr>
      <w:tblGrid>
        <w:gridCol w:w="9497"/>
      </w:tblGrid>
      <w:tr w:rsidTr="00DA3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2AB" w:rsidP="00DA32AB">
            <w:pPr>
              <w:pStyle w:val="BodyText"/>
            </w:pPr>
            <w:r w:rsidRPr="00DA32AB">
              <w:t>Release 2. This is the second release of this unit of competency in the UEE Electrotechnology Training Package.</w:t>
            </w:r>
          </w:p>
          <w:p w:rsidR="00000000" w:rsidRPr="00DA32AB" w:rsidP="00DA32AB">
            <w:pPr>
              <w:pStyle w:val="BodyText"/>
            </w:pPr>
            <w:r w:rsidRPr="00DA32AB">
              <w:t>Workplace evidence requirements updated in Performance Evidence and Assessment Conditions.</w:t>
            </w:r>
          </w:p>
          <w:p w:rsidR="00000000" w:rsidP="00DA32AB">
            <w:pPr>
              <w:pStyle w:val="BodyText"/>
              <w:rPr>
                <w:lang w:val="en-NZ"/>
              </w:rPr>
            </w:pPr>
            <w:r w:rsidRPr="00DA32AB">
              <w:t>Assessor requirements updated in Assessment Conditions.</w:t>
            </w:r>
          </w:p>
        </w:tc>
      </w:tr>
      <w:tr w:rsidTr="00DA3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2AB" w:rsidP="00DA32AB">
            <w:pPr>
              <w:pStyle w:val="BodyText"/>
            </w:pPr>
            <w:r w:rsidRPr="00DA32AB">
              <w:t>Release 1. This is the first release of this unit of competency in the UEE Electrotechnology Training Packag</w:t>
            </w:r>
            <w:r w:rsidRPr="00DA32AB">
              <w:t>e.</w:t>
            </w:r>
          </w:p>
        </w:tc>
      </w:tr>
    </w:tbl>
    <w:p w:rsidR="00000000" w:rsidRPr="00DA32AB" w:rsidP="00DA32AB">
      <w:pPr>
        <w:pStyle w:val="NoPaddingFontSize1"/>
      </w:pPr>
    </w:p>
    <w:p w:rsidR="00000000" w:rsidRPr="00DA32AB" w:rsidP="00DA32AB">
      <w:pPr>
        <w:pStyle w:val="AllowPageBreak"/>
      </w:pPr>
    </w:p>
    <w:p w:rsidR="00000000" w:rsidRPr="00DA32AB" w:rsidP="00DA32AB">
      <w:pPr>
        <w:pStyle w:val="Heading1"/>
      </w:pPr>
      <w:bookmarkStart w:id="2" w:name="O_1238116"/>
      <w:bookmarkEnd w:id="2"/>
      <w:r w:rsidRPr="00DA32AB">
        <w:t>Performance Evidence</w:t>
      </w:r>
    </w:p>
    <w:tbl>
      <w:tblPr>
        <w:tblW w:w="9497" w:type="dxa"/>
        <w:tblLayout w:type="fixed"/>
        <w:tblCellMar>
          <w:left w:w="62" w:type="dxa"/>
          <w:right w:w="62" w:type="dxa"/>
        </w:tblCellMar>
        <w:tblLook w:val="0000"/>
      </w:tblPr>
      <w:tblGrid>
        <w:gridCol w:w="9497"/>
      </w:tblGrid>
      <w:tr w:rsidTr="00DA3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32AB">
            <w:pPr>
              <w:pStyle w:val="BodyText"/>
              <w:rPr>
                <w:lang w:val="en-NZ"/>
              </w:rPr>
            </w:pPr>
            <w:r w:rsidRPr="00DA32AB">
              <w:t>Evidence required to demonstrate competence in this unit must be relevant to and satisfy all of the requirements of the elements, performance criteria and range of conditions on at least two separate occasions a</w:t>
            </w:r>
            <w:r w:rsidRPr="00DA32AB">
              <w:t xml:space="preserve">nd include: </w:t>
            </w:r>
          </w:p>
        </w:tc>
      </w:tr>
      <w:tr w:rsidTr="00DA3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2AB" w:rsidP="00DA32AB">
            <w:pPr>
              <w:pStyle w:val="ListBullet"/>
            </w:pPr>
            <w:r w:rsidRPr="00DA32AB">
              <w:t># applying relevant work health and safety (WHS)/occupational health and safety (OHS) requirements and workplace procedures and practices, including using risk control measures</w:t>
            </w:r>
          </w:p>
          <w:p w:rsidR="00000000" w:rsidRPr="00DA32AB" w:rsidP="00DA32AB">
            <w:pPr>
              <w:pStyle w:val="ListBullet"/>
            </w:pPr>
            <w:r w:rsidRPr="00DA32AB">
              <w:t xml:space="preserve"># applying sustainable energy principles and practices </w:t>
            </w:r>
          </w:p>
          <w:p w:rsidR="00000000" w:rsidRPr="00DA32AB" w:rsidP="00DA32AB">
            <w:pPr>
              <w:pStyle w:val="ListBullet"/>
            </w:pPr>
            <w:r w:rsidRPr="00DA32AB">
              <w:t># confirming relevant circuits are isolated</w:t>
            </w:r>
          </w:p>
          <w:p w:rsidR="00000000" w:rsidRPr="00DA32AB" w:rsidP="00DA32AB">
            <w:pPr>
              <w:pStyle w:val="ListBullet"/>
            </w:pPr>
            <w:r w:rsidRPr="00DA32AB">
              <w:t>dealing with unplanned events in accordance with workplace procedures in a manner that minimises risk to personnel and equipment</w:t>
            </w:r>
          </w:p>
          <w:p w:rsidR="00000000" w:rsidRPr="00DA32AB" w:rsidP="00DA32AB">
            <w:pPr>
              <w:pStyle w:val="ListBullet"/>
            </w:pPr>
            <w:r w:rsidRPr="00DA32AB">
              <w:t># terminating wiring and accessories for low voltage circuits, including:</w:t>
            </w:r>
          </w:p>
          <w:p w:rsidR="00000000" w:rsidRPr="00DA32AB" w:rsidP="00DA32AB">
            <w:pPr>
              <w:pStyle w:val="ListBullet2"/>
            </w:pPr>
            <w:r w:rsidRPr="00DA32AB">
              <w:t># cuttin</w:t>
            </w:r>
            <w:r w:rsidRPr="00DA32AB">
              <w:t>g cable ends and stripping sheath/insulation to a sufficient length</w:t>
            </w:r>
          </w:p>
          <w:p w:rsidR="00000000" w:rsidRPr="00DA32AB" w:rsidP="00DA32AB">
            <w:pPr>
              <w:pStyle w:val="ListBullet2"/>
            </w:pPr>
            <w:r w:rsidRPr="00DA32AB">
              <w:t># fitting and securing cable glands/retaining devices correctly</w:t>
            </w:r>
          </w:p>
          <w:p w:rsidR="00000000" w:rsidRPr="00DA32AB" w:rsidP="00DA32AB">
            <w:pPr>
              <w:pStyle w:val="ListBullet2"/>
            </w:pPr>
            <w:r w:rsidRPr="00DA32AB">
              <w:t># preparing and terminating conductors to suit the type of terminal at which they are to be connected</w:t>
            </w:r>
          </w:p>
          <w:p w:rsidR="00000000" w:rsidRPr="00DA32AB" w:rsidP="00DA32AB">
            <w:pPr>
              <w:pStyle w:val="ListBullet2"/>
            </w:pPr>
            <w:r w:rsidRPr="00DA32AB">
              <w:t># selecting appropriat</w:t>
            </w:r>
            <w:r w:rsidRPr="00DA32AB">
              <w:t>e cable/cord and conductor devices</w:t>
            </w:r>
          </w:p>
          <w:p w:rsidR="00000000" w:rsidRPr="00DA32AB" w:rsidP="00DA32AB">
            <w:pPr>
              <w:pStyle w:val="ListBullet2"/>
            </w:pPr>
            <w:r w:rsidRPr="00DA32AB">
              <w:t># testing completed cables to ensure compliant continuity and insulation resistance</w:t>
            </w:r>
          </w:p>
          <w:p w:rsidR="00000000" w:rsidRPr="00DA32AB" w:rsidP="00DA32AB">
            <w:pPr>
              <w:pStyle w:val="ListBullet"/>
            </w:pPr>
            <w:r w:rsidRPr="00DA32AB">
              <w:t xml:space="preserve"># inspecting junction box/terminal enclosures and determining the type and size of required cable and conductor termination devices </w:t>
            </w:r>
          </w:p>
          <w:p w:rsidR="00000000" w:rsidRPr="00DA32AB" w:rsidP="00DA32AB">
            <w:pPr>
              <w:pStyle w:val="ListBullet"/>
            </w:pPr>
            <w:r w:rsidRPr="00DA32AB">
              <w:t># t</w:t>
            </w:r>
            <w:r w:rsidRPr="00DA32AB">
              <w:t>esting terminated cables and cords.</w:t>
            </w:r>
          </w:p>
        </w:tc>
      </w:tr>
    </w:tbl>
    <w:p w:rsidR="00000000" w:rsidRPr="00DA32AB" w:rsidP="00DA32AB">
      <w:pPr>
        <w:pStyle w:val="NoPaddingFontSize1"/>
      </w:pPr>
    </w:p>
    <w:p w:rsidR="00000000" w:rsidRPr="00DA32AB" w:rsidP="00DA32AB">
      <w:pPr>
        <w:pStyle w:val="AllowPageBreak"/>
      </w:pPr>
    </w:p>
    <w:p w:rsidR="00000000" w:rsidRPr="00DA32AB" w:rsidP="00DA32AB">
      <w:pPr>
        <w:pStyle w:val="Heading1"/>
      </w:pPr>
      <w:bookmarkStart w:id="3" w:name="O_1238115"/>
      <w:bookmarkEnd w:id="3"/>
      <w:r w:rsidRPr="00DA32AB">
        <w:t>Knowledge Evidence</w:t>
      </w:r>
    </w:p>
    <w:tbl>
      <w:tblPr>
        <w:tblW w:w="9497" w:type="dxa"/>
        <w:tblLayout w:type="fixed"/>
        <w:tblCellMar>
          <w:left w:w="62" w:type="dxa"/>
          <w:right w:w="62" w:type="dxa"/>
        </w:tblCellMar>
        <w:tblLook w:val="0000"/>
      </w:tblPr>
      <w:tblGrid>
        <w:gridCol w:w="9497"/>
      </w:tblGrid>
      <w:tr w:rsidTr="00DA3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2AB" w:rsidP="00DA32AB">
            <w:pPr>
              <w:pStyle w:val="BodyText"/>
            </w:pPr>
            <w:r w:rsidRPr="00DA32AB">
              <w:t xml:space="preserve">Evidence required to demonstrate competence in this unit must be relevant to and satisfy all of the requirements of the elements, performance criteria </w:t>
            </w:r>
            <w:r w:rsidRPr="00DA32AB">
              <w:t xml:space="preserve">and range of conditions and include knowledge of: </w:t>
            </w:r>
          </w:p>
          <w:p w:rsidR="00000000" w:rsidRPr="00DA32AB" w:rsidP="00DA32AB">
            <w:pPr>
              <w:pStyle w:val="ListBullet"/>
            </w:pPr>
            <w:r w:rsidRPr="00DA32AB">
              <w:t>cable types and terminations, including:</w:t>
            </w:r>
          </w:p>
          <w:p w:rsidR="00000000" w:rsidRPr="00DA32AB" w:rsidP="00DA32AB">
            <w:pPr>
              <w:pStyle w:val="ListBullet2"/>
            </w:pPr>
            <w:r w:rsidRPr="00DA32AB">
              <w:t>application of various cords and cables types, as defined by the properties of their insulation, sheathing, armouring and/or screening</w:t>
            </w:r>
          </w:p>
          <w:p w:rsidR="00000000" w:rsidRPr="00DA32AB" w:rsidP="00DA32AB">
            <w:pPr>
              <w:pStyle w:val="ListBullet2"/>
            </w:pPr>
            <w:r w:rsidRPr="00DA32AB">
              <w:t>Australian and internationa</w:t>
            </w:r>
            <w:r w:rsidRPr="00DA32AB">
              <w:t>l colour standards for cords and cables</w:t>
            </w:r>
          </w:p>
          <w:p w:rsidR="00000000" w:rsidRPr="00DA32AB" w:rsidP="00DA32AB">
            <w:pPr>
              <w:pStyle w:val="ListBullet2"/>
            </w:pPr>
            <w:r w:rsidRPr="00DA32AB">
              <w:t>single cables, flexible cables, flexible cords, screened cables, armoured cables, other similar and like cables</w:t>
            </w:r>
          </w:p>
          <w:p w:rsidR="00000000" w:rsidRPr="00DA32AB" w:rsidP="00DA32AB">
            <w:pPr>
              <w:pStyle w:val="ListBullet2"/>
            </w:pPr>
            <w:r w:rsidRPr="00DA32AB">
              <w:t>construction of common cables</w:t>
            </w:r>
          </w:p>
          <w:p w:rsidR="00000000" w:rsidRPr="00DA32AB" w:rsidP="00DA32AB">
            <w:pPr>
              <w:pStyle w:val="ListBullet2"/>
            </w:pPr>
            <w:r w:rsidRPr="00DA32AB">
              <w:t>identification of cords and cables by conductor size, type and rating</w:t>
            </w:r>
          </w:p>
          <w:p w:rsidR="00000000" w:rsidRPr="00DA32AB" w:rsidP="00DA32AB">
            <w:pPr>
              <w:pStyle w:val="ListBullet2"/>
            </w:pPr>
            <w:r w:rsidRPr="00DA32AB">
              <w:t>identification of hardware used in terminating cords and cables</w:t>
            </w:r>
          </w:p>
          <w:p w:rsidR="00000000" w:rsidRPr="00DA32AB" w:rsidP="00DA32AB">
            <w:pPr>
              <w:pStyle w:val="ListBullet2"/>
            </w:pPr>
            <w:r w:rsidRPr="00DA32AB">
              <w:t>requirements to protect and support cables adequately (protection against mechanical damage, protection from adverse temperatures and corrosion and protection from magnetic field that may affe</w:t>
            </w:r>
            <w:r w:rsidRPr="00DA32AB">
              <w:t>ct the performance of the cable)</w:t>
            </w:r>
          </w:p>
          <w:p w:rsidR="00000000" w:rsidRPr="00DA32AB" w:rsidP="00DA32AB">
            <w:pPr>
              <w:pStyle w:val="ListBullet2"/>
            </w:pPr>
            <w:r w:rsidRPr="00DA32AB">
              <w:t>structural components of cables and their purpose (conductor material, stranding, insulation type, voltage rating, screening, sheathing, armour and serving)</w:t>
            </w:r>
          </w:p>
          <w:p w:rsidR="00000000" w:rsidRPr="00DA32AB" w:rsidP="00DA32AB">
            <w:pPr>
              <w:pStyle w:val="ListBullet2"/>
            </w:pPr>
            <w:r w:rsidRPr="00DA32AB">
              <w:t>techniques for termination of cords and cables using crimp lugs, t</w:t>
            </w:r>
            <w:r w:rsidRPr="00DA32AB">
              <w:t>unnel connectors, soldering and solderless lugs</w:t>
            </w:r>
          </w:p>
          <w:p w:rsidR="00000000" w:rsidRPr="00DA32AB" w:rsidP="00DA32AB">
            <w:pPr>
              <w:pStyle w:val="ListBullet"/>
            </w:pPr>
            <w:r w:rsidRPr="00DA32AB">
              <w:t>cords, cables and plugs, including:</w:t>
            </w:r>
          </w:p>
          <w:p w:rsidR="00000000" w:rsidRPr="00DA32AB" w:rsidP="00DA32AB">
            <w:pPr>
              <w:pStyle w:val="ListBullet2"/>
            </w:pPr>
            <w:r w:rsidRPr="00DA32AB">
              <w:t>techniques for selection of flexible cords for given applications</w:t>
            </w:r>
          </w:p>
          <w:p w:rsidR="00000000" w:rsidRPr="00DA32AB" w:rsidP="00DA32AB">
            <w:pPr>
              <w:pStyle w:val="ListBullet2"/>
            </w:pPr>
            <w:r w:rsidRPr="00DA32AB">
              <w:t>preparation of cord ends for connection</w:t>
            </w:r>
          </w:p>
          <w:p w:rsidR="00000000" w:rsidRPr="00DA32AB" w:rsidP="00DA32AB">
            <w:pPr>
              <w:pStyle w:val="ListBullet2"/>
            </w:pPr>
            <w:r w:rsidRPr="00DA32AB">
              <w:t>fitting standard three pin plug tops and extension sockets to fl</w:t>
            </w:r>
            <w:r w:rsidRPr="00DA32AB">
              <w:t>exible cords</w:t>
            </w:r>
          </w:p>
          <w:p w:rsidR="00000000" w:rsidRPr="00DA32AB" w:rsidP="00DA32AB">
            <w:pPr>
              <w:pStyle w:val="ListBullet2"/>
            </w:pPr>
            <w:r w:rsidRPr="00DA32AB">
              <w:t>connecting a variety of plug tops and extension sockets to different flexible cord types</w:t>
            </w:r>
          </w:p>
          <w:p w:rsidR="00000000" w:rsidRPr="00DA32AB" w:rsidP="00DA32AB">
            <w:pPr>
              <w:pStyle w:val="ListBullet"/>
            </w:pPr>
            <w:r w:rsidRPr="00DA32AB">
              <w:t>flat thermoplastic sheathed (TPS) wiring systems, including techniques for:</w:t>
            </w:r>
          </w:p>
          <w:p w:rsidR="00000000" w:rsidRPr="00DA32AB" w:rsidP="00DA32AB">
            <w:pPr>
              <w:pStyle w:val="ListBullet2"/>
            </w:pPr>
            <w:r w:rsidRPr="00DA32AB">
              <w:t>installation of flat TPS cable in trunking and duct for the supply of socket</w:t>
            </w:r>
            <w:r w:rsidRPr="00DA32AB">
              <w:t xml:space="preserve"> outlets</w:t>
            </w:r>
          </w:p>
          <w:p w:rsidR="00000000" w:rsidRPr="00DA32AB" w:rsidP="00DA32AB">
            <w:pPr>
              <w:pStyle w:val="ListBullet2"/>
            </w:pPr>
            <w:r w:rsidRPr="00DA32AB">
              <w:t>using flat TPS cable for lighting looms</w:t>
            </w:r>
          </w:p>
          <w:p w:rsidR="00000000" w:rsidRPr="00DA32AB" w:rsidP="00DA32AB">
            <w:pPr>
              <w:pStyle w:val="ListBullet"/>
            </w:pPr>
            <w:r w:rsidRPr="00DA32AB">
              <w:t>circular TPS wiring systems, including techniques for:</w:t>
            </w:r>
          </w:p>
          <w:p w:rsidR="00000000" w:rsidRPr="00DA32AB" w:rsidP="00DA32AB">
            <w:pPr>
              <w:pStyle w:val="ListBullet2"/>
            </w:pPr>
            <w:r w:rsidRPr="00DA32AB">
              <w:t>installation of circular TPS cables on cable ladder/tray</w:t>
            </w:r>
          </w:p>
          <w:p w:rsidR="00000000" w:rsidRPr="00DA32AB" w:rsidP="00DA32AB">
            <w:pPr>
              <w:pStyle w:val="ListBullet2"/>
            </w:pPr>
            <w:r w:rsidRPr="00DA32AB">
              <w:t xml:space="preserve">installation of circular TPS cable </w:t>
            </w:r>
          </w:p>
          <w:p w:rsidR="00000000" w:rsidRPr="00DA32AB" w:rsidP="00DA32AB">
            <w:pPr>
              <w:pStyle w:val="ListBullet"/>
            </w:pPr>
            <w:r w:rsidRPr="00DA32AB">
              <w:t>thermoplastic insulated (TPI) cables in non-metallic enclosures, including techniques for:</w:t>
            </w:r>
          </w:p>
          <w:p w:rsidR="00000000" w:rsidRPr="00DA32AB" w:rsidP="00DA32AB">
            <w:pPr>
              <w:pStyle w:val="ListBullet2"/>
            </w:pPr>
            <w:r w:rsidRPr="00DA32AB">
              <w:t>cutting and setting rigid non-metallic ducting, trunking and conduit and accessories</w:t>
            </w:r>
          </w:p>
          <w:p w:rsidR="00000000" w:rsidRPr="00DA32AB" w:rsidP="00DA32AB">
            <w:pPr>
              <w:pStyle w:val="ListBullet2"/>
            </w:pPr>
            <w:r w:rsidRPr="00DA32AB">
              <w:t>installation of circuits using TPI cables in non-metallic enclosures</w:t>
            </w:r>
          </w:p>
          <w:p w:rsidR="00000000" w:rsidRPr="00DA32AB" w:rsidP="00DA32AB">
            <w:pPr>
              <w:pStyle w:val="ListBullet"/>
            </w:pPr>
            <w:r w:rsidRPr="00DA32AB">
              <w:t>TPI cable</w:t>
            </w:r>
            <w:r w:rsidRPr="00DA32AB">
              <w:t>s in metallic enclosures, including techniques for:</w:t>
            </w:r>
          </w:p>
          <w:p w:rsidR="00000000" w:rsidRPr="00DA32AB" w:rsidP="00DA32AB">
            <w:pPr>
              <w:pStyle w:val="ListBullet2"/>
            </w:pPr>
            <w:r w:rsidRPr="00DA32AB">
              <w:t>fitting metallic conduit to metallic trunking and accessories</w:t>
            </w:r>
          </w:p>
          <w:p w:rsidR="00000000" w:rsidRPr="00DA32AB" w:rsidP="00DA32AB">
            <w:pPr>
              <w:pStyle w:val="ListBullet2"/>
            </w:pPr>
            <w:r w:rsidRPr="00DA32AB">
              <w:t xml:space="preserve">cutting, threading and setting metallic conduit </w:t>
            </w:r>
          </w:p>
          <w:p w:rsidR="00000000" w:rsidRPr="00DA32AB" w:rsidP="00DA32AB">
            <w:pPr>
              <w:pStyle w:val="ListBullet2"/>
            </w:pPr>
            <w:r w:rsidRPr="00DA32AB">
              <w:t>installation of circuits using TPI cables in metallic conduit, ducting and trunking</w:t>
            </w:r>
          </w:p>
          <w:p w:rsidR="00000000" w:rsidRPr="00DA32AB" w:rsidP="00DA32AB">
            <w:pPr>
              <w:pStyle w:val="ListBullet"/>
            </w:pPr>
            <w:r w:rsidRPr="00DA32AB">
              <w:t>fire pr</w:t>
            </w:r>
            <w:r w:rsidRPr="00DA32AB">
              <w:t>otection cabling and systems encompassing:</w:t>
            </w:r>
          </w:p>
          <w:p w:rsidR="00000000" w:rsidRPr="00DA32AB" w:rsidP="00DA32AB">
            <w:pPr>
              <w:pStyle w:val="ListBullet2"/>
            </w:pPr>
            <w:r w:rsidRPr="00DA32AB">
              <w:t>requirements when passing a wiring system through a fire rated wall or floor</w:t>
            </w:r>
          </w:p>
          <w:p w:rsidR="00000000" w:rsidRPr="00DA32AB" w:rsidP="00DA32AB">
            <w:pPr>
              <w:pStyle w:val="ListBullet2"/>
            </w:pPr>
            <w:r w:rsidRPr="00DA32AB">
              <w:t xml:space="preserve">techniques for recognising different fire protection cable types </w:t>
            </w:r>
          </w:p>
          <w:p w:rsidR="00000000" w:rsidRPr="00DA32AB" w:rsidP="00DA32AB">
            <w:pPr>
              <w:pStyle w:val="ListBullet2"/>
            </w:pPr>
            <w:r w:rsidRPr="00DA32AB">
              <w:t>techniques for installation and termination of fire protection cable</w:t>
            </w:r>
          </w:p>
          <w:p w:rsidR="00000000" w:rsidRPr="00DA32AB" w:rsidP="00DA32AB">
            <w:pPr>
              <w:pStyle w:val="ListBullet"/>
            </w:pPr>
            <w:r w:rsidRPr="00DA32AB">
              <w:t>steel wire armoured (SWA) cables, including techniques for:</w:t>
            </w:r>
          </w:p>
          <w:p w:rsidR="00000000" w:rsidRPr="00DA32AB" w:rsidP="00DA32AB">
            <w:pPr>
              <w:pStyle w:val="ListBullet2"/>
            </w:pPr>
            <w:r w:rsidRPr="00DA32AB">
              <w:t>identifying accessories used with SWA cables</w:t>
            </w:r>
          </w:p>
          <w:p w:rsidR="00000000" w:rsidRPr="00DA32AB" w:rsidP="00DA32AB">
            <w:pPr>
              <w:pStyle w:val="ListBullet2"/>
            </w:pPr>
            <w:r w:rsidRPr="00DA32AB">
              <w:t>installation of circuits using SWA cables</w:t>
            </w:r>
          </w:p>
          <w:p w:rsidR="00000000" w:rsidRPr="00DA32AB" w:rsidP="00DA32AB">
            <w:pPr>
              <w:pStyle w:val="ListBullet"/>
            </w:pPr>
            <w:r w:rsidRPr="00DA32AB">
              <w:t>trailing cables and catenary systems, including techniques for:</w:t>
            </w:r>
          </w:p>
          <w:p w:rsidR="00000000" w:rsidRPr="00DA32AB" w:rsidP="00DA32AB">
            <w:pPr>
              <w:pStyle w:val="ListBullet2"/>
            </w:pPr>
            <w:r w:rsidRPr="00DA32AB">
              <w:t xml:space="preserve">identifying equipment used with trailing </w:t>
            </w:r>
            <w:r w:rsidRPr="00DA32AB">
              <w:t>cable and catenary systems</w:t>
            </w:r>
          </w:p>
          <w:p w:rsidR="00000000" w:rsidRPr="00DA32AB" w:rsidP="00DA32AB">
            <w:pPr>
              <w:pStyle w:val="ListBullet2"/>
            </w:pPr>
            <w:r w:rsidRPr="00DA32AB">
              <w:t>installation of catenary wiring systems</w:t>
            </w:r>
          </w:p>
          <w:p w:rsidR="00000000" w:rsidRPr="00DA32AB" w:rsidP="00DA32AB">
            <w:pPr>
              <w:pStyle w:val="ListBullet2"/>
            </w:pPr>
            <w:r w:rsidRPr="00DA32AB">
              <w:t>installation of trailing cable systems supplying pendant sockets</w:t>
            </w:r>
          </w:p>
          <w:p w:rsidR="00000000" w:rsidRPr="00DA32AB" w:rsidP="00DA32AB">
            <w:pPr>
              <w:pStyle w:val="ListBullet"/>
            </w:pPr>
            <w:r w:rsidRPr="00DA32AB">
              <w:t>relevant industry standards and testing requirements for safe operation relating to:</w:t>
            </w:r>
          </w:p>
          <w:p w:rsidR="00000000" w:rsidRPr="00DA32AB" w:rsidP="00DA32AB">
            <w:pPr>
              <w:pStyle w:val="ListBullet2"/>
            </w:pPr>
            <w:r w:rsidRPr="00DA32AB">
              <w:t>cords, cables and plugs</w:t>
            </w:r>
          </w:p>
          <w:p w:rsidR="00000000" w:rsidRPr="00DA32AB" w:rsidP="00DA32AB">
            <w:pPr>
              <w:pStyle w:val="ListBullet2"/>
            </w:pPr>
            <w:r w:rsidRPr="00DA32AB">
              <w:t xml:space="preserve">circular and </w:t>
            </w:r>
            <w:r w:rsidRPr="00DA32AB">
              <w:t>flat TPS wiring systems</w:t>
            </w:r>
          </w:p>
          <w:p w:rsidR="00000000" w:rsidRPr="00DA32AB" w:rsidP="00DA32AB">
            <w:pPr>
              <w:pStyle w:val="ListBullet2"/>
            </w:pPr>
            <w:r w:rsidRPr="00DA32AB">
              <w:t>TPI cables in non-metallic enclosures</w:t>
            </w:r>
          </w:p>
          <w:p w:rsidR="00000000" w:rsidRPr="00DA32AB" w:rsidP="00DA32AB">
            <w:pPr>
              <w:pStyle w:val="ListBullet2"/>
            </w:pPr>
            <w:r w:rsidRPr="00DA32AB">
              <w:t>TPI cables</w:t>
            </w:r>
          </w:p>
          <w:p w:rsidR="00000000" w:rsidRPr="00DA32AB" w:rsidP="00DA32AB">
            <w:pPr>
              <w:pStyle w:val="ListBullet2"/>
            </w:pPr>
            <w:r w:rsidRPr="00DA32AB">
              <w:t>fire protection cabling</w:t>
            </w:r>
          </w:p>
          <w:p w:rsidR="00000000" w:rsidRPr="00DA32AB" w:rsidP="00DA32AB">
            <w:pPr>
              <w:pStyle w:val="ListBullet2"/>
            </w:pPr>
            <w:r w:rsidRPr="00DA32AB">
              <w:t>SWA cables</w:t>
            </w:r>
          </w:p>
          <w:p w:rsidR="00000000" w:rsidRPr="00DA32AB" w:rsidP="00DA32AB">
            <w:pPr>
              <w:pStyle w:val="ListBullet2"/>
            </w:pPr>
            <w:r w:rsidRPr="00DA32AB">
              <w:t>trailing cables and catenary systems</w:t>
            </w:r>
          </w:p>
          <w:p w:rsidR="00000000" w:rsidRPr="00DA32AB" w:rsidP="00DA32AB">
            <w:pPr>
              <w:pStyle w:val="ListBullet"/>
            </w:pPr>
            <w:r w:rsidRPr="00DA32AB">
              <w:t>relevant manufacturer specifications</w:t>
            </w:r>
          </w:p>
        </w:tc>
      </w:tr>
    </w:tbl>
    <w:p w:rsidR="00000000" w:rsidRPr="00DA32AB" w:rsidP="00DA32AB">
      <w:pPr>
        <w:pStyle w:val="NoPaddingFontSize1"/>
      </w:pPr>
    </w:p>
    <w:p w:rsidR="00000000" w:rsidRPr="00DA32AB" w:rsidP="00DA32AB">
      <w:pPr>
        <w:pStyle w:val="AllowPageBreak"/>
      </w:pPr>
    </w:p>
    <w:p w:rsidR="00000000" w:rsidRPr="00DA32AB" w:rsidP="00DA32AB">
      <w:pPr>
        <w:pStyle w:val="Heading1"/>
      </w:pPr>
      <w:bookmarkStart w:id="4" w:name="O_1238114"/>
      <w:bookmarkEnd w:id="4"/>
      <w:r w:rsidRPr="00DA32AB">
        <w:t>Assessment Conditions</w:t>
      </w:r>
    </w:p>
    <w:tbl>
      <w:tblPr>
        <w:tblW w:w="9497" w:type="dxa"/>
        <w:tblLayout w:type="fixed"/>
        <w:tblCellMar>
          <w:left w:w="62" w:type="dxa"/>
          <w:right w:w="62" w:type="dxa"/>
        </w:tblCellMar>
        <w:tblLook w:val="0000"/>
      </w:tblPr>
      <w:tblGrid>
        <w:gridCol w:w="9497"/>
      </w:tblGrid>
      <w:tr w:rsidTr="00DA32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2AB" w:rsidP="00DA32AB">
            <w:pPr>
              <w:pStyle w:val="BodyText"/>
            </w:pPr>
            <w:r w:rsidRPr="00DA32AB">
              <w:t>Assess</w:t>
            </w:r>
            <w:r w:rsidRPr="00DA32AB">
              <w:t xml:space="preserve">ors must hold credentials specified within the Standards for Registered Training Organisations current at the time of assessment. </w:t>
            </w:r>
          </w:p>
          <w:p w:rsidR="00000000" w:rsidRPr="00DA32AB" w:rsidP="00DA32AB">
            <w:pPr>
              <w:pStyle w:val="BodyText"/>
            </w:pPr>
            <w:r w:rsidRPr="00DA32AB">
              <w:t>Assessors must also hold the occupational licence for the jurisdiction the assessment is occurring where the activity being assessed requires a licence to practice.</w:t>
            </w:r>
          </w:p>
          <w:p w:rsidR="00000000" w:rsidRPr="00DA32AB" w:rsidP="00DA32AB">
            <w:pPr>
              <w:pStyle w:val="BodyText"/>
            </w:pPr>
            <w:r w:rsidRPr="00DA32AB">
              <w:t>Assessment must satisfy the Principles of Assessment and Rules of Evidence and all regulato</w:t>
            </w:r>
            <w:r w:rsidRPr="00DA32AB">
              <w:t>ry requirements included within the Standards for Registered Training Organisations current at the time of assessment.</w:t>
            </w:r>
          </w:p>
          <w:p w:rsidR="00000000" w:rsidRPr="00DA32AB" w:rsidP="00DA32AB">
            <w:pPr>
              <w:pStyle w:val="BodyText"/>
            </w:pPr>
            <w:r w:rsidRPr="00DA32AB">
              <w:t>Assessment must occur in suitable workplace operational situations where it is appropriate to do so, where this is not appropriate, asses</w:t>
            </w:r>
            <w:r w:rsidRPr="00DA32AB">
              <w:t>sment must occur in suitable simulated workplace operational situations that replicate workplace conditions.</w:t>
            </w:r>
          </w:p>
          <w:p w:rsidR="00000000" w:rsidRPr="00DA32AB" w:rsidP="00DA32AB">
            <w:pPr>
              <w:pStyle w:val="BodyText"/>
            </w:pPr>
            <w:r w:rsidRPr="00DA32AB">
              <w:t>Assessment processes and techniques must be appropriate to the language, literacy and numeracy requirements of the work being performed and the nee</w:t>
            </w:r>
            <w:r w:rsidRPr="00DA32AB">
              <w:t>ds of the candidate.</w:t>
            </w:r>
          </w:p>
          <w:p w:rsidR="00000000" w:rsidRPr="00DA32AB" w:rsidP="00DA32AB">
            <w:pPr>
              <w:pStyle w:val="BodyText"/>
            </w:pPr>
            <w:r w:rsidRPr="00DA32AB">
              <w:t>Resources for assessment must include access to:</w:t>
            </w:r>
          </w:p>
          <w:p w:rsidR="00000000" w:rsidRPr="00DA32AB" w:rsidP="00DA32AB">
            <w:pPr>
              <w:pStyle w:val="ListBullet"/>
            </w:pPr>
            <w:r w:rsidRPr="00DA32AB">
              <w:t>a range of relevant exercises, case studies and/or other simulations</w:t>
            </w:r>
          </w:p>
          <w:p w:rsidR="00000000" w:rsidRPr="00DA32AB" w:rsidP="00DA32AB">
            <w:pPr>
              <w:pStyle w:val="ListBullet"/>
            </w:pPr>
            <w:r w:rsidRPr="00DA32AB">
              <w:t>relevant and appropriate materials, tools, facilities, equipment and personal protective equipment (PPE) currently u</w:t>
            </w:r>
            <w:r w:rsidRPr="00DA32AB">
              <w:t>sed in industry</w:t>
            </w:r>
          </w:p>
          <w:p w:rsidR="00000000" w:rsidRPr="00DA32AB" w:rsidP="00DA32AB">
            <w:pPr>
              <w:pStyle w:val="ListBullet"/>
            </w:pPr>
            <w:r w:rsidRPr="00DA32AB">
              <w:t>applicable documentation, including workplace procedures, equipment specifications, regulations, relevant industry standards, codes of practice and operation manuals.</w:t>
            </w:r>
          </w:p>
          <w:p w:rsidR="00000000" w:rsidRPr="00DA32AB" w:rsidP="00DA32AB">
            <w:pPr>
              <w:pStyle w:val="BodyText"/>
            </w:pPr>
            <w:r w:rsidRPr="00DA32AB">
              <w:t>In addition, evidence of Performance Evidence items of this unit marked w</w:t>
            </w:r>
            <w:r w:rsidRPr="00DA32AB">
              <w:t>ith a hash (#) must be gathered in authentic workplace operational conditions (not simulated) before final determination of competence in this unit can be made.</w:t>
            </w:r>
          </w:p>
        </w:tc>
      </w:tr>
    </w:tbl>
    <w:p w:rsidR="00000000" w:rsidRPr="00DA32AB" w:rsidP="00DA32AB">
      <w:pPr>
        <w:pStyle w:val="NoPaddingFontSize1"/>
      </w:pPr>
    </w:p>
    <w:p w:rsidR="00000000" w:rsidRPr="00DA32AB" w:rsidP="00DA32AB">
      <w:pPr>
        <w:pStyle w:val="AllowPageBreak"/>
      </w:pPr>
    </w:p>
    <w:p w:rsidR="00000000" w:rsidRPr="00DA32AB" w:rsidP="00DA32AB">
      <w:pPr>
        <w:pStyle w:val="Heading1"/>
      </w:pPr>
      <w:bookmarkStart w:id="5" w:name="O_1238129"/>
      <w:bookmarkEnd w:id="5"/>
      <w:r w:rsidRPr="00DA32AB">
        <w:t>Links</w:t>
      </w:r>
    </w:p>
    <w:p w:rsidR="00000000" w:rsidRPr="00DA32AB" w:rsidP="00F44853">
      <w:pPr>
        <w:pStyle w:val="BodyText"/>
      </w:pPr>
      <w:r w:rsidRPr="00DA32A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7376E">
        <w:rPr>
          <w:rStyle w:val="Hyperlink"/>
        </w:rPr>
        <w:t>https://vetnet.gov.au/Pages/TrainingDocs.aspx?q=b8a8f136-5421-4ce1-92e0-2b50341431b6</w:t>
      </w:r>
      <w:r>
        <w:fldChar w:fldCharType="end"/>
      </w:r>
    </w:p>
    <w:p w:rsidR="00000000" w:rsidRPr="00DA32AB" w:rsidP="00DA32AB"/>
    <w:sectPr w:rsidSect="00DA32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AB" w:rsidRPr="00F44853" w:rsidP="00F44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53" w:rsidP="00DA3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853" w:rsidP="00DA32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4853" w:rsidP="00DA3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2AB" w:rsidRPr="00F44853" w:rsidP="00F44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53" w:rsidRPr="002D2AF8" w:rsidP="00DA32AB">
    <w:pPr>
      <w:pStyle w:val="Header"/>
      <w:framePr w:wrap="around"/>
    </w:pPr>
    <w:r>
      <w:fldChar w:fldCharType="begin"/>
    </w:r>
    <w:r>
      <w:instrText xml:space="preserve"> TITLE   \* MERGEFORMAT </w:instrText>
    </w:r>
    <w:r>
      <w:fldChar w:fldCharType="separate"/>
    </w:r>
    <w:r>
      <w:t>Assessment Requirements for UEEEL0023 Terminate cables, cords and accessories for 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44853" w:rsidP="00DA3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8C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20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43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2AB"/>
    <w:pPr>
      <w:spacing w:before="360" w:after="60"/>
      <w:outlineLvl w:val="0"/>
    </w:pPr>
    <w:rPr>
      <w:sz w:val="32"/>
    </w:rPr>
  </w:style>
  <w:style w:type="paragraph" w:styleId="Heading2">
    <w:name w:val="heading 2"/>
    <w:basedOn w:val="HeadingBase"/>
    <w:next w:val="BodyText"/>
    <w:link w:val="Heading2Char"/>
    <w:qFormat/>
    <w:rsid w:val="00DA32AB"/>
    <w:pPr>
      <w:keepLines/>
      <w:spacing w:before="240" w:after="120"/>
      <w:outlineLvl w:val="1"/>
    </w:pPr>
    <w:rPr>
      <w:sz w:val="28"/>
      <w:szCs w:val="40"/>
    </w:rPr>
  </w:style>
  <w:style w:type="paragraph" w:styleId="Heading3">
    <w:name w:val="heading 3"/>
    <w:basedOn w:val="HeadingBase"/>
    <w:next w:val="BodyText"/>
    <w:link w:val="Heading3Char"/>
    <w:qFormat/>
    <w:rsid w:val="00DA32AB"/>
    <w:pPr>
      <w:spacing w:before="180" w:after="120"/>
      <w:outlineLvl w:val="2"/>
    </w:pPr>
    <w:rPr>
      <w:spacing w:val="-10"/>
      <w:kern w:val="32"/>
    </w:rPr>
  </w:style>
  <w:style w:type="paragraph" w:styleId="Heading4">
    <w:name w:val="heading 4"/>
    <w:basedOn w:val="HeadingBase"/>
    <w:next w:val="BodyText"/>
    <w:link w:val="Heading4Char"/>
    <w:qFormat/>
    <w:rsid w:val="00DA32AB"/>
    <w:pPr>
      <w:spacing w:before="160" w:after="120"/>
      <w:outlineLvl w:val="3"/>
    </w:pPr>
    <w:rPr>
      <w:sz w:val="22"/>
    </w:rPr>
  </w:style>
  <w:style w:type="paragraph" w:styleId="Heading5">
    <w:name w:val="heading 5"/>
    <w:basedOn w:val="HeadingBase"/>
    <w:next w:val="Normal"/>
    <w:link w:val="Heading5Char"/>
    <w:qFormat/>
    <w:rsid w:val="00DA32AB"/>
    <w:pPr>
      <w:spacing w:before="80"/>
      <w:outlineLvl w:val="4"/>
    </w:pPr>
    <w:rPr>
      <w:color w:val="918585"/>
      <w:sz w:val="20"/>
    </w:rPr>
  </w:style>
  <w:style w:type="paragraph" w:styleId="Heading6">
    <w:name w:val="heading 6"/>
    <w:basedOn w:val="HeadingBase"/>
    <w:next w:val="Normal"/>
    <w:link w:val="Heading6Char"/>
    <w:qFormat/>
    <w:rsid w:val="00DA32AB"/>
    <w:pPr>
      <w:spacing w:before="60"/>
      <w:outlineLvl w:val="5"/>
    </w:pPr>
    <w:rPr>
      <w:color w:val="918585"/>
      <w:sz w:val="20"/>
    </w:rPr>
  </w:style>
  <w:style w:type="paragraph" w:styleId="Heading7">
    <w:name w:val="heading 7"/>
    <w:basedOn w:val="Normal"/>
    <w:next w:val="Normal"/>
    <w:link w:val="Heading7Char"/>
    <w:qFormat/>
    <w:rsid w:val="00DA32AB"/>
    <w:pPr>
      <w:ind w:left="720"/>
      <w:outlineLvl w:val="6"/>
    </w:pPr>
    <w:rPr>
      <w:i/>
    </w:rPr>
  </w:style>
  <w:style w:type="paragraph" w:styleId="Heading8">
    <w:name w:val="heading 8"/>
    <w:basedOn w:val="Normal"/>
    <w:next w:val="Normal"/>
    <w:link w:val="Heading8Char"/>
    <w:qFormat/>
    <w:rsid w:val="00DA32AB"/>
    <w:pPr>
      <w:ind w:left="720"/>
      <w:outlineLvl w:val="7"/>
    </w:pPr>
    <w:rPr>
      <w:i/>
    </w:rPr>
  </w:style>
  <w:style w:type="paragraph" w:styleId="Heading9">
    <w:name w:val="heading 9"/>
    <w:basedOn w:val="Normal"/>
    <w:next w:val="Normal"/>
    <w:link w:val="Heading9Char"/>
    <w:qFormat/>
    <w:rsid w:val="00DA32AB"/>
    <w:pPr>
      <w:ind w:left="720"/>
      <w:outlineLvl w:val="8"/>
    </w:pPr>
    <w:rPr>
      <w:i/>
    </w:rPr>
  </w:style>
  <w:style w:type="character" w:default="1" w:styleId="DefaultParagraphFont">
    <w:name w:val="Default Paragraph Font"/>
    <w:uiPriority w:val="1"/>
    <w:unhideWhenUsed/>
    <w:rsid w:val="00DA3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2AB"/>
  </w:style>
  <w:style w:type="character" w:customStyle="1" w:styleId="Heading1Char">
    <w:name w:val="Heading 1 Char"/>
    <w:basedOn w:val="DefaultParagraphFont"/>
    <w:link w:val="Heading1"/>
    <w:rsid w:val="00DA32AB"/>
    <w:rPr>
      <w:rFonts w:ascii="Times New Roman" w:eastAsia="Times New Roman" w:hAnsi="Times New Roman" w:cs="Times New Roman"/>
      <w:b/>
      <w:sz w:val="32"/>
      <w:szCs w:val="20"/>
      <w:lang w:eastAsia="en-US"/>
    </w:rPr>
  </w:style>
  <w:style w:type="paragraph" w:styleId="BodyText">
    <w:name w:val="Body Text"/>
    <w:basedOn w:val="Normal"/>
    <w:link w:val="BodyTextChar"/>
    <w:rsid w:val="00DA3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2AB"/>
    <w:rPr>
      <w:rFonts w:ascii="Times New Roman" w:eastAsia="Times New Roman" w:hAnsi="Times New Roman" w:cs="Times New Roman"/>
      <w:sz w:val="24"/>
      <w:lang w:eastAsia="en-US"/>
    </w:rPr>
  </w:style>
  <w:style w:type="paragraph" w:styleId="ListBullet">
    <w:name w:val="List Bullet"/>
    <w:basedOn w:val="List"/>
    <w:rsid w:val="00DA32AB"/>
    <w:pPr>
      <w:numPr>
        <w:numId w:val="12"/>
      </w:numPr>
      <w:tabs>
        <w:tab w:val="clear" w:pos="340"/>
      </w:tabs>
      <w:spacing w:before="40" w:after="40"/>
    </w:pPr>
  </w:style>
  <w:style w:type="paragraph" w:styleId="ListBullet2">
    <w:name w:val="List Bullet 2"/>
    <w:basedOn w:val="List2"/>
    <w:rsid w:val="00DA32AB"/>
    <w:pPr>
      <w:numPr>
        <w:numId w:val="13"/>
      </w:numPr>
      <w:tabs>
        <w:tab w:val="clear" w:pos="680"/>
      </w:tabs>
    </w:pPr>
  </w:style>
  <w:style w:type="paragraph" w:customStyle="1" w:styleId="SuperHeading">
    <w:name w:val="SuperHeading"/>
    <w:basedOn w:val="Normal"/>
    <w:rsid w:val="00DA32AB"/>
    <w:pPr>
      <w:spacing w:before="240" w:after="120"/>
      <w:outlineLvl w:val="0"/>
    </w:pPr>
    <w:rPr>
      <w:rFonts w:ascii="Times New Roman" w:hAnsi="Times New Roman"/>
      <w:b/>
      <w:sz w:val="32"/>
    </w:rPr>
  </w:style>
  <w:style w:type="paragraph" w:customStyle="1" w:styleId="AllowPageBreak">
    <w:name w:val="AllowPageBreak"/>
    <w:rsid w:val="00DA32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3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2AB"/>
    <w:rPr>
      <w:rFonts w:ascii="Courier New" w:eastAsia="Times New Roman" w:hAnsi="Courier New" w:cs="Times New Roman"/>
      <w:i/>
      <w:szCs w:val="20"/>
      <w:lang w:eastAsia="en-US"/>
    </w:rPr>
  </w:style>
  <w:style w:type="paragraph" w:customStyle="1" w:styleId="HeadingBase">
    <w:name w:val="Heading Base"/>
    <w:rsid w:val="00DA3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2AB"/>
    <w:pPr>
      <w:tabs>
        <w:tab w:val="right" w:leader="dot" w:pos="9072"/>
      </w:tabs>
      <w:ind w:left="567"/>
    </w:pPr>
    <w:rPr>
      <w:szCs w:val="22"/>
    </w:rPr>
  </w:style>
  <w:style w:type="paragraph" w:customStyle="1" w:styleId="TOCBase">
    <w:name w:val="TOC Base"/>
    <w:rsid w:val="00DA3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2AB"/>
    <w:pPr>
      <w:tabs>
        <w:tab w:val="right" w:leader="dot" w:pos="9072"/>
      </w:tabs>
      <w:spacing w:before="40" w:after="40"/>
      <w:ind w:left="284"/>
    </w:pPr>
    <w:rPr>
      <w:rFonts w:ascii="Times New Roman" w:hAnsi="Times New Roman"/>
    </w:rPr>
  </w:style>
  <w:style w:type="paragraph" w:styleId="TOC1">
    <w:name w:val="toc 1"/>
    <w:basedOn w:val="TOCBase"/>
    <w:next w:val="Normal"/>
    <w:rsid w:val="00DA3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2AB"/>
    <w:rPr>
      <w:rFonts w:ascii="Times New Roman" w:eastAsia="Times New Roman" w:hAnsi="Times New Roman" w:cs="Times New Roman"/>
      <w:sz w:val="16"/>
      <w:lang w:eastAsia="en-US"/>
    </w:rPr>
  </w:style>
  <w:style w:type="paragraph" w:styleId="Title">
    <w:name w:val="Title"/>
    <w:basedOn w:val="HeadingBase"/>
    <w:link w:val="TitleChar"/>
    <w:qFormat/>
    <w:rsid w:val="00DA32AB"/>
    <w:pPr>
      <w:spacing w:before="5040"/>
      <w:jc w:val="center"/>
    </w:pPr>
    <w:rPr>
      <w:sz w:val="48"/>
      <w:szCs w:val="72"/>
      <w:lang w:val="en-US"/>
    </w:rPr>
  </w:style>
  <w:style w:type="character" w:customStyle="1" w:styleId="TitleChar">
    <w:name w:val="Title Char"/>
    <w:basedOn w:val="DefaultParagraphFont"/>
    <w:link w:val="Title"/>
    <w:rsid w:val="00DA3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2AB"/>
    <w:pPr>
      <w:tabs>
        <w:tab w:val="left" w:pos="3600"/>
        <w:tab w:val="left" w:pos="3958"/>
      </w:tabs>
    </w:pPr>
  </w:style>
  <w:style w:type="paragraph" w:styleId="List">
    <w:name w:val="List"/>
    <w:basedOn w:val="BodyText"/>
    <w:next w:val="BodyText"/>
    <w:rsid w:val="00DA32AB"/>
    <w:pPr>
      <w:tabs>
        <w:tab w:val="left" w:pos="340"/>
      </w:tabs>
      <w:spacing w:before="60" w:after="60"/>
      <w:ind w:left="340" w:hanging="340"/>
    </w:pPr>
  </w:style>
  <w:style w:type="paragraph" w:customStyle="1" w:styleId="Note">
    <w:name w:val="Note"/>
    <w:basedOn w:val="BodyText"/>
    <w:rsid w:val="00DA32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32AB"/>
    <w:rPr>
      <w:b/>
      <w:spacing w:val="0"/>
    </w:rPr>
  </w:style>
  <w:style w:type="paragraph" w:customStyle="1" w:styleId="SuperTitle">
    <w:name w:val="SuperTitle"/>
    <w:basedOn w:val="Title"/>
    <w:rsid w:val="00DA32AB"/>
    <w:pPr>
      <w:framePr w:wrap="auto" w:hAnchor="text" w:y="6049"/>
    </w:pPr>
    <w:rPr>
      <w:color w:val="000000"/>
      <w:sz w:val="40"/>
    </w:rPr>
  </w:style>
  <w:style w:type="paragraph" w:customStyle="1" w:styleId="TOCTitle">
    <w:name w:val="TOCTitle"/>
    <w:basedOn w:val="Heading1"/>
    <w:rsid w:val="00DA32AB"/>
    <w:pPr>
      <w:spacing w:after="240"/>
      <w:jc w:val="center"/>
      <w:outlineLvl w:val="9"/>
    </w:pPr>
    <w:rPr>
      <w:caps/>
    </w:rPr>
  </w:style>
  <w:style w:type="paragraph" w:customStyle="1" w:styleId="Version">
    <w:name w:val="Version"/>
    <w:rsid w:val="00DA3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2AB"/>
    <w:pPr>
      <w:keepNext w:val="0"/>
      <w:tabs>
        <w:tab w:val="right" w:pos="4176"/>
      </w:tabs>
      <w:ind w:left="198" w:hanging="198"/>
    </w:pPr>
    <w:rPr>
      <w:rFonts w:ascii="Garamond" w:hAnsi="Garamond"/>
    </w:rPr>
  </w:style>
  <w:style w:type="paragraph" w:styleId="IndexHeading">
    <w:name w:val="index heading"/>
    <w:basedOn w:val="Normal"/>
    <w:next w:val="Index1"/>
    <w:semiHidden/>
    <w:rsid w:val="00DA32AB"/>
    <w:pPr>
      <w:spacing w:before="120" w:after="120"/>
    </w:pPr>
    <w:rPr>
      <w:rFonts w:ascii="Arial" w:hAnsi="Arial"/>
      <w:b/>
      <w:color w:val="918585"/>
      <w:sz w:val="24"/>
    </w:rPr>
  </w:style>
  <w:style w:type="paragraph" w:styleId="Header">
    <w:name w:val="header"/>
    <w:basedOn w:val="Normal"/>
    <w:link w:val="HeaderChar"/>
    <w:rsid w:val="00DA3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2AB"/>
    <w:rPr>
      <w:rFonts w:ascii="Times New Roman" w:eastAsia="Times New Roman" w:hAnsi="Times New Roman" w:cs="Times New Roman"/>
      <w:sz w:val="16"/>
      <w:szCs w:val="20"/>
      <w:lang w:val="en-GB" w:eastAsia="en-US"/>
    </w:rPr>
  </w:style>
  <w:style w:type="paragraph" w:customStyle="1" w:styleId="Chapter">
    <w:name w:val="Chapter"/>
    <w:basedOn w:val="Normal"/>
    <w:rsid w:val="00DA32AB"/>
    <w:pPr>
      <w:spacing w:before="240"/>
    </w:pPr>
    <w:rPr>
      <w:rFonts w:ascii="Times New Roman" w:hAnsi="Times New Roman"/>
      <w:smallCaps/>
      <w:spacing w:val="80"/>
      <w:sz w:val="28"/>
    </w:rPr>
  </w:style>
  <w:style w:type="paragraph" w:customStyle="1" w:styleId="InChapter">
    <w:name w:val="InChapter"/>
    <w:basedOn w:val="Heading3"/>
    <w:rsid w:val="00DA32AB"/>
    <w:pPr>
      <w:spacing w:after="240"/>
      <w:outlineLvl w:val="9"/>
    </w:pPr>
    <w:rPr>
      <w:noProof/>
    </w:rPr>
  </w:style>
  <w:style w:type="paragraph" w:styleId="Index2">
    <w:name w:val="index 2"/>
    <w:basedOn w:val="Normal"/>
    <w:next w:val="Normal"/>
    <w:semiHidden/>
    <w:rsid w:val="00DA32AB"/>
    <w:pPr>
      <w:tabs>
        <w:tab w:val="right" w:pos="4176"/>
      </w:tabs>
      <w:ind w:left="568" w:hanging="284"/>
    </w:pPr>
    <w:rPr>
      <w:rFonts w:ascii="Garamond" w:hAnsi="Garamond"/>
    </w:rPr>
  </w:style>
  <w:style w:type="paragraph" w:customStyle="1" w:styleId="Byline">
    <w:name w:val="Byline"/>
    <w:rsid w:val="00DA3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2AB"/>
    <w:pPr>
      <w:tabs>
        <w:tab w:val="clear" w:pos="3600"/>
        <w:tab w:val="clear" w:pos="3958"/>
      </w:tabs>
      <w:jc w:val="right"/>
    </w:pPr>
  </w:style>
  <w:style w:type="character" w:styleId="Emphasis">
    <w:name w:val="Emphasis"/>
    <w:basedOn w:val="DefaultParagraphFont"/>
    <w:qFormat/>
    <w:rsid w:val="00DA32AB"/>
    <w:rPr>
      <w:i/>
    </w:rPr>
  </w:style>
  <w:style w:type="paragraph" w:styleId="Caption">
    <w:name w:val="caption"/>
    <w:basedOn w:val="BodyText"/>
    <w:next w:val="Normal"/>
    <w:qFormat/>
    <w:rsid w:val="00DA32AB"/>
    <w:pPr>
      <w:framePr w:w="2268" w:hSpace="181" w:vSpace="181" w:wrap="around" w:vAnchor="text" w:hAnchor="page" w:x="1135" w:y="285" w:anchorLock="1"/>
    </w:pPr>
    <w:rPr>
      <w:i/>
    </w:rPr>
  </w:style>
  <w:style w:type="paragraph" w:customStyle="1" w:styleId="MiniTOCTitle">
    <w:name w:val="MiniTOCTitle"/>
    <w:basedOn w:val="Heading4"/>
    <w:rsid w:val="00DA32AB"/>
    <w:pPr>
      <w:spacing w:before="240"/>
      <w:outlineLvl w:val="9"/>
    </w:pPr>
    <w:rPr>
      <w:noProof/>
      <w:sz w:val="24"/>
    </w:rPr>
  </w:style>
  <w:style w:type="paragraph" w:customStyle="1" w:styleId="MiniTOCItem">
    <w:name w:val="MiniTOCItem"/>
    <w:basedOn w:val="ListBullet"/>
    <w:rsid w:val="00DA32AB"/>
    <w:pPr>
      <w:numPr>
        <w:numId w:val="0"/>
      </w:numPr>
      <w:tabs>
        <w:tab w:val="right" w:leader="dot" w:pos="6521"/>
      </w:tabs>
      <w:spacing w:before="0" w:after="0"/>
    </w:pPr>
  </w:style>
  <w:style w:type="paragraph" w:customStyle="1" w:styleId="TOFTitle">
    <w:name w:val="TOFTitle"/>
    <w:basedOn w:val="TOCTitle"/>
    <w:rsid w:val="00DA32AB"/>
  </w:style>
  <w:style w:type="paragraph" w:styleId="TableofFigures">
    <w:name w:val="table of figures"/>
    <w:basedOn w:val="Normal"/>
    <w:next w:val="Normal"/>
    <w:semiHidden/>
    <w:rsid w:val="00DA32AB"/>
    <w:pPr>
      <w:tabs>
        <w:tab w:val="right" w:leader="dot" w:pos="9072"/>
      </w:tabs>
      <w:ind w:left="970" w:hanging="403"/>
    </w:pPr>
    <w:rPr>
      <w:rFonts w:ascii="Times New Roman" w:hAnsi="Times New Roman"/>
      <w:b/>
    </w:rPr>
  </w:style>
  <w:style w:type="paragraph" w:styleId="ListNumber">
    <w:name w:val="List Number"/>
    <w:basedOn w:val="List"/>
    <w:rsid w:val="00DA32AB"/>
    <w:pPr>
      <w:numPr>
        <w:numId w:val="15"/>
      </w:numPr>
      <w:tabs>
        <w:tab w:val="clear" w:pos="340"/>
      </w:tabs>
    </w:pPr>
  </w:style>
  <w:style w:type="character" w:customStyle="1" w:styleId="WingdingSymbols">
    <w:name w:val="Wingding Symbols"/>
    <w:rsid w:val="00DA32AB"/>
    <w:rPr>
      <w:rFonts w:ascii="Wingdings" w:hAnsi="Wingdings"/>
    </w:rPr>
  </w:style>
  <w:style w:type="paragraph" w:customStyle="1" w:styleId="TableHeading">
    <w:name w:val="Table Heading"/>
    <w:basedOn w:val="HeadingBase"/>
    <w:rsid w:val="00DA32AB"/>
    <w:pPr>
      <w:keepLines/>
      <w:pBdr>
        <w:bottom w:val="single" w:sz="6" w:space="1" w:color="918585"/>
      </w:pBdr>
      <w:spacing w:before="240"/>
    </w:pPr>
  </w:style>
  <w:style w:type="character" w:customStyle="1" w:styleId="HotSpot">
    <w:name w:val="HotSpot"/>
    <w:rsid w:val="00DA32AB"/>
    <w:rPr>
      <w:color w:val="0033CC"/>
      <w:u w:val="none"/>
    </w:rPr>
  </w:style>
  <w:style w:type="paragraph" w:customStyle="1" w:styleId="BodyTextRight">
    <w:name w:val="Body Text Right"/>
    <w:basedOn w:val="BodyText"/>
    <w:rsid w:val="00DA32AB"/>
    <w:pPr>
      <w:spacing w:before="0" w:after="0"/>
      <w:jc w:val="right"/>
    </w:pPr>
  </w:style>
  <w:style w:type="paragraph" w:styleId="Index3">
    <w:name w:val="index 3"/>
    <w:basedOn w:val="ListNumber2"/>
    <w:next w:val="Normal"/>
    <w:semiHidden/>
    <w:rsid w:val="00DA32AB"/>
    <w:pPr>
      <w:numPr>
        <w:numId w:val="0"/>
      </w:numPr>
      <w:tabs>
        <w:tab w:val="right" w:leader="dot" w:pos="4176"/>
      </w:tabs>
    </w:pPr>
  </w:style>
  <w:style w:type="paragraph" w:styleId="ListNumber2">
    <w:name w:val="List Number 2"/>
    <w:basedOn w:val="List2"/>
    <w:rsid w:val="00DA32AB"/>
    <w:pPr>
      <w:numPr>
        <w:numId w:val="10"/>
      </w:numPr>
      <w:tabs>
        <w:tab w:val="clear" w:pos="1060"/>
      </w:tabs>
    </w:pPr>
  </w:style>
  <w:style w:type="paragraph" w:customStyle="1" w:styleId="MarginNote">
    <w:name w:val="Margin Note"/>
    <w:basedOn w:val="BodyText"/>
    <w:rsid w:val="00DA3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2AB"/>
    <w:rPr>
      <w:sz w:val="32"/>
    </w:rPr>
  </w:style>
  <w:style w:type="paragraph" w:customStyle="1" w:styleId="HeadingProcedure">
    <w:name w:val="Heading Procedure"/>
    <w:basedOn w:val="HeadingBase"/>
    <w:next w:val="Normal"/>
    <w:rsid w:val="00DA32AB"/>
    <w:pPr>
      <w:tabs>
        <w:tab w:val="left" w:pos="0"/>
      </w:tabs>
      <w:spacing w:before="120" w:after="60"/>
    </w:pPr>
    <w:rPr>
      <w:i/>
      <w:color w:val="918585"/>
      <w:sz w:val="22"/>
    </w:rPr>
  </w:style>
  <w:style w:type="paragraph" w:customStyle="1" w:styleId="TableBodyText">
    <w:name w:val="Table Body Text"/>
    <w:basedOn w:val="BodyText"/>
    <w:rsid w:val="00DA32AB"/>
    <w:pPr>
      <w:spacing w:before="60" w:after="60"/>
    </w:pPr>
  </w:style>
  <w:style w:type="paragraph" w:styleId="ListContinue">
    <w:name w:val="List Continue"/>
    <w:basedOn w:val="List"/>
    <w:rsid w:val="00DA32AB"/>
    <w:pPr>
      <w:ind w:firstLine="0"/>
    </w:pPr>
  </w:style>
  <w:style w:type="paragraph" w:customStyle="1" w:styleId="ListNote">
    <w:name w:val="List Note"/>
    <w:basedOn w:val="List"/>
    <w:rsid w:val="00DA32AB"/>
    <w:pPr>
      <w:pBdr>
        <w:top w:val="single" w:sz="6" w:space="2" w:color="918585"/>
        <w:bottom w:val="single" w:sz="6" w:space="2" w:color="918585"/>
      </w:pBdr>
      <w:tabs>
        <w:tab w:val="left" w:pos="1021"/>
      </w:tabs>
      <w:ind w:firstLine="0"/>
    </w:pPr>
  </w:style>
  <w:style w:type="paragraph" w:customStyle="1" w:styleId="Warning">
    <w:name w:val="Warning"/>
    <w:basedOn w:val="BodyText"/>
    <w:rsid w:val="00DA32AB"/>
    <w:pPr>
      <w:shd w:val="clear" w:color="auto" w:fill="D9D9D9"/>
      <w:tabs>
        <w:tab w:val="left" w:pos="992"/>
      </w:tabs>
      <w:ind w:left="119" w:right="119"/>
    </w:pPr>
    <w:rPr>
      <w:sz w:val="20"/>
    </w:rPr>
  </w:style>
  <w:style w:type="paragraph" w:customStyle="1" w:styleId="MarginIcons">
    <w:name w:val="Margin Icons"/>
    <w:basedOn w:val="BodyText"/>
    <w:rsid w:val="00DA3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2AB"/>
    <w:rPr>
      <w:rFonts w:ascii="Courier New" w:hAnsi="Courier New"/>
    </w:rPr>
  </w:style>
  <w:style w:type="paragraph" w:customStyle="1" w:styleId="NoteBullet">
    <w:name w:val="Note Bullet"/>
    <w:basedOn w:val="Note"/>
    <w:rsid w:val="00DA32AB"/>
    <w:pPr>
      <w:tabs>
        <w:tab w:val="clear" w:pos="680"/>
      </w:tabs>
      <w:spacing w:before="60" w:after="60"/>
    </w:pPr>
  </w:style>
  <w:style w:type="paragraph" w:customStyle="1" w:styleId="SubHeading2">
    <w:name w:val="SubHeading2"/>
    <w:basedOn w:val="HeadingBase"/>
    <w:rsid w:val="00DA32AB"/>
    <w:pPr>
      <w:spacing w:before="240" w:after="60"/>
    </w:pPr>
    <w:rPr>
      <w:sz w:val="20"/>
    </w:rPr>
  </w:style>
  <w:style w:type="paragraph" w:customStyle="1" w:styleId="SubHeading1">
    <w:name w:val="SubHeading1"/>
    <w:basedOn w:val="HeadingBase"/>
    <w:rsid w:val="00DA32AB"/>
    <w:pPr>
      <w:spacing w:before="240" w:after="60"/>
    </w:pPr>
    <w:rPr>
      <w:color w:val="918585"/>
      <w:sz w:val="22"/>
    </w:rPr>
  </w:style>
  <w:style w:type="paragraph" w:customStyle="1" w:styleId="SideHeading">
    <w:name w:val="Side Heading"/>
    <w:basedOn w:val="HeadingBase"/>
    <w:rsid w:val="00DA3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2AB"/>
    <w:pPr>
      <w:tabs>
        <w:tab w:val="num" w:pos="360"/>
      </w:tabs>
    </w:pPr>
  </w:style>
  <w:style w:type="paragraph" w:styleId="PlainText">
    <w:name w:val="Plain Text"/>
    <w:basedOn w:val="Normal"/>
    <w:link w:val="PlainTextChar"/>
    <w:rsid w:val="00DA32AB"/>
    <w:rPr>
      <w:sz w:val="20"/>
    </w:rPr>
  </w:style>
  <w:style w:type="character" w:customStyle="1" w:styleId="PlainTextChar">
    <w:name w:val="Plain Text Char"/>
    <w:basedOn w:val="DefaultParagraphFont"/>
    <w:link w:val="PlainText"/>
    <w:rsid w:val="00DA32AB"/>
    <w:rPr>
      <w:rFonts w:ascii="Courier New" w:eastAsia="Times New Roman" w:hAnsi="Courier New" w:cs="Times New Roman"/>
      <w:sz w:val="20"/>
      <w:szCs w:val="20"/>
      <w:lang w:eastAsia="en-US"/>
    </w:rPr>
  </w:style>
  <w:style w:type="character" w:customStyle="1" w:styleId="MenuOption">
    <w:name w:val="Menu Option"/>
    <w:basedOn w:val="DefaultParagraphFont"/>
    <w:rsid w:val="00DA32AB"/>
    <w:rPr>
      <w:b/>
      <w:smallCaps/>
    </w:rPr>
  </w:style>
  <w:style w:type="paragraph" w:customStyle="1" w:styleId="TableListNumber">
    <w:name w:val="Table List Number"/>
    <w:basedOn w:val="ListNumber"/>
    <w:rsid w:val="00DA32AB"/>
    <w:pPr>
      <w:numPr>
        <w:numId w:val="0"/>
      </w:numPr>
    </w:pPr>
  </w:style>
  <w:style w:type="paragraph" w:styleId="TOC4">
    <w:name w:val="toc 4"/>
    <w:basedOn w:val="TOCBase"/>
    <w:next w:val="Normal"/>
    <w:semiHidden/>
    <w:rsid w:val="00DA32AB"/>
    <w:pPr>
      <w:tabs>
        <w:tab w:val="right" w:leader="dot" w:pos="9071"/>
      </w:tabs>
      <w:ind w:left="1701"/>
    </w:pPr>
  </w:style>
  <w:style w:type="paragraph" w:customStyle="1" w:styleId="ListAlpha">
    <w:name w:val="List Alpha"/>
    <w:basedOn w:val="List"/>
    <w:rsid w:val="00DA32AB"/>
    <w:pPr>
      <w:numPr>
        <w:numId w:val="9"/>
      </w:numPr>
    </w:pPr>
  </w:style>
  <w:style w:type="paragraph" w:customStyle="1" w:styleId="ListAlpha2">
    <w:name w:val="List Alpha 2"/>
    <w:basedOn w:val="List2"/>
    <w:rsid w:val="00DA32AB"/>
    <w:pPr>
      <w:numPr>
        <w:numId w:val="8"/>
      </w:numPr>
    </w:pPr>
  </w:style>
  <w:style w:type="paragraph" w:styleId="List2">
    <w:name w:val="List 2"/>
    <w:basedOn w:val="BodyText"/>
    <w:rsid w:val="00DA32AB"/>
    <w:pPr>
      <w:tabs>
        <w:tab w:val="left" w:pos="680"/>
      </w:tabs>
      <w:spacing w:before="60" w:after="60"/>
      <w:ind w:left="680" w:hanging="340"/>
    </w:pPr>
  </w:style>
  <w:style w:type="paragraph" w:styleId="List3">
    <w:name w:val="List 3"/>
    <w:basedOn w:val="BodyText"/>
    <w:rsid w:val="00DA32AB"/>
    <w:pPr>
      <w:tabs>
        <w:tab w:val="left" w:pos="1021"/>
      </w:tabs>
      <w:spacing w:before="60" w:after="60"/>
      <w:ind w:left="1020" w:hanging="340"/>
    </w:pPr>
  </w:style>
  <w:style w:type="paragraph" w:styleId="List4">
    <w:name w:val="List 4"/>
    <w:basedOn w:val="BodyText"/>
    <w:rsid w:val="00DA32AB"/>
    <w:pPr>
      <w:tabs>
        <w:tab w:val="left" w:pos="1361"/>
      </w:tabs>
      <w:spacing w:before="60" w:after="60"/>
      <w:ind w:left="1361" w:hanging="340"/>
    </w:pPr>
  </w:style>
  <w:style w:type="paragraph" w:styleId="List5">
    <w:name w:val="List 5"/>
    <w:basedOn w:val="BodyText"/>
    <w:rsid w:val="00DA32AB"/>
    <w:pPr>
      <w:tabs>
        <w:tab w:val="left" w:pos="1701"/>
      </w:tabs>
      <w:spacing w:before="60" w:after="60"/>
      <w:ind w:left="1701" w:hanging="340"/>
    </w:pPr>
  </w:style>
  <w:style w:type="paragraph" w:styleId="ListBullet3">
    <w:name w:val="List Bullet 3"/>
    <w:basedOn w:val="List3"/>
    <w:rsid w:val="00DA32AB"/>
    <w:pPr>
      <w:numPr>
        <w:numId w:val="14"/>
      </w:numPr>
      <w:tabs>
        <w:tab w:val="clear" w:pos="1021"/>
      </w:tabs>
      <w:ind w:left="1037" w:hanging="357"/>
    </w:pPr>
  </w:style>
  <w:style w:type="paragraph" w:styleId="ListBullet4">
    <w:name w:val="List Bullet 4"/>
    <w:basedOn w:val="List4"/>
    <w:rsid w:val="00DA32AB"/>
    <w:pPr>
      <w:numPr>
        <w:numId w:val="3"/>
      </w:numPr>
      <w:tabs>
        <w:tab w:val="clear" w:pos="1361"/>
      </w:tabs>
    </w:pPr>
  </w:style>
  <w:style w:type="paragraph" w:styleId="ListBullet5">
    <w:name w:val="List Bullet 5"/>
    <w:basedOn w:val="List5"/>
    <w:rsid w:val="00DA32AB"/>
    <w:pPr>
      <w:numPr>
        <w:numId w:val="4"/>
      </w:numPr>
    </w:pPr>
  </w:style>
  <w:style w:type="paragraph" w:styleId="ListContinue2">
    <w:name w:val="List Continue 2"/>
    <w:basedOn w:val="List2"/>
    <w:rsid w:val="00DA32AB"/>
    <w:pPr>
      <w:ind w:firstLine="0"/>
    </w:pPr>
  </w:style>
  <w:style w:type="paragraph" w:styleId="ListContinue3">
    <w:name w:val="List Continue 3"/>
    <w:basedOn w:val="List3"/>
    <w:rsid w:val="00DA32AB"/>
    <w:pPr>
      <w:ind w:left="1021" w:firstLine="0"/>
    </w:pPr>
  </w:style>
  <w:style w:type="paragraph" w:styleId="ListContinue4">
    <w:name w:val="List Continue 4"/>
    <w:basedOn w:val="List4"/>
    <w:rsid w:val="00DA32AB"/>
    <w:pPr>
      <w:ind w:firstLine="0"/>
    </w:pPr>
  </w:style>
  <w:style w:type="paragraph" w:styleId="ListContinue5">
    <w:name w:val="List Continue 5"/>
    <w:basedOn w:val="List5"/>
    <w:rsid w:val="00DA32AB"/>
    <w:pPr>
      <w:ind w:firstLine="0"/>
    </w:pPr>
  </w:style>
  <w:style w:type="paragraph" w:styleId="ListNumber3">
    <w:name w:val="List Number 3"/>
    <w:basedOn w:val="List3"/>
    <w:rsid w:val="00DA32AB"/>
    <w:pPr>
      <w:numPr>
        <w:numId w:val="5"/>
      </w:numPr>
    </w:pPr>
  </w:style>
  <w:style w:type="paragraph" w:styleId="ListNumber4">
    <w:name w:val="List Number 4"/>
    <w:basedOn w:val="List4"/>
    <w:rsid w:val="00DA32AB"/>
    <w:pPr>
      <w:numPr>
        <w:numId w:val="6"/>
      </w:numPr>
    </w:pPr>
  </w:style>
  <w:style w:type="paragraph" w:styleId="ListNumber5">
    <w:name w:val="List Number 5"/>
    <w:basedOn w:val="List5"/>
    <w:rsid w:val="00DA32AB"/>
    <w:pPr>
      <w:numPr>
        <w:numId w:val="7"/>
      </w:numPr>
    </w:pPr>
  </w:style>
  <w:style w:type="paragraph" w:styleId="BlockText">
    <w:name w:val="Block Text"/>
    <w:basedOn w:val="Normal"/>
    <w:rsid w:val="00DA32AB"/>
    <w:pPr>
      <w:spacing w:after="120"/>
      <w:ind w:left="1440" w:right="1440"/>
    </w:pPr>
  </w:style>
  <w:style w:type="character" w:customStyle="1" w:styleId="Subscript">
    <w:name w:val="Subscript"/>
    <w:basedOn w:val="DefaultParagraphFont"/>
    <w:rsid w:val="00DA32AB"/>
    <w:rPr>
      <w:sz w:val="16"/>
      <w:vertAlign w:val="subscript"/>
    </w:rPr>
  </w:style>
  <w:style w:type="character" w:customStyle="1" w:styleId="Superscript">
    <w:name w:val="Superscript"/>
    <w:basedOn w:val="DefaultParagraphFont"/>
    <w:rsid w:val="00DA32AB"/>
    <w:rPr>
      <w:sz w:val="16"/>
      <w:vertAlign w:val="superscript"/>
    </w:rPr>
  </w:style>
  <w:style w:type="character" w:customStyle="1" w:styleId="Symbols">
    <w:name w:val="Symbols"/>
    <w:basedOn w:val="DefaultParagraphFont"/>
    <w:rsid w:val="00DA32AB"/>
    <w:rPr>
      <w:rFonts w:ascii="Symbol" w:hAnsi="Symbol"/>
    </w:rPr>
  </w:style>
  <w:style w:type="character" w:customStyle="1" w:styleId="MenuOptions">
    <w:name w:val="Menu Options"/>
    <w:basedOn w:val="DefaultParagraphFont"/>
    <w:rsid w:val="00DA32AB"/>
    <w:rPr>
      <w:rFonts w:ascii="Arial Narrow" w:hAnsi="Arial Narrow"/>
      <w:smallCaps/>
    </w:rPr>
  </w:style>
  <w:style w:type="character" w:customStyle="1" w:styleId="Buttons">
    <w:name w:val="Buttons"/>
    <w:basedOn w:val="DefaultParagraphFont"/>
    <w:rsid w:val="00DA32AB"/>
    <w:rPr>
      <w:b/>
    </w:rPr>
  </w:style>
  <w:style w:type="character" w:customStyle="1" w:styleId="Underlined">
    <w:name w:val="Underlined"/>
    <w:basedOn w:val="DefaultParagraphFont"/>
    <w:rsid w:val="00DA32AB"/>
    <w:rPr>
      <w:u w:val="single"/>
    </w:rPr>
  </w:style>
  <w:style w:type="paragraph" w:customStyle="1" w:styleId="TableBodyTextRight">
    <w:name w:val="Table Body Text Right"/>
    <w:basedOn w:val="TableBodyText"/>
    <w:rsid w:val="00DA32AB"/>
    <w:pPr>
      <w:widowControl w:val="0"/>
      <w:autoSpaceDE w:val="0"/>
      <w:autoSpaceDN w:val="0"/>
      <w:adjustRightInd w:val="0"/>
      <w:jc w:val="right"/>
    </w:pPr>
    <w:rPr>
      <w:rFonts w:cs="Arial"/>
      <w:szCs w:val="18"/>
    </w:rPr>
  </w:style>
  <w:style w:type="paragraph" w:customStyle="1" w:styleId="CopyrightText">
    <w:name w:val="Copyright Text"/>
    <w:basedOn w:val="BodyText"/>
    <w:rsid w:val="00DA32AB"/>
    <w:rPr>
      <w:sz w:val="18"/>
    </w:rPr>
  </w:style>
  <w:style w:type="paragraph" w:customStyle="1" w:styleId="BodySmallRight">
    <w:name w:val="Body Small Right"/>
    <w:basedOn w:val="BodyTextRight"/>
    <w:rsid w:val="00DA32AB"/>
    <w:rPr>
      <w:sz w:val="18"/>
      <w:szCs w:val="18"/>
    </w:rPr>
  </w:style>
  <w:style w:type="paragraph" w:customStyle="1" w:styleId="MarginEdition">
    <w:name w:val="Margin Edition"/>
    <w:basedOn w:val="MarginNote"/>
    <w:rsid w:val="00DA32AB"/>
    <w:pPr>
      <w:spacing w:before="0" w:after="0"/>
    </w:pPr>
    <w:rPr>
      <w:rFonts w:ascii="Times New Roman" w:hAnsi="Times New Roman"/>
      <w:color w:val="999999"/>
    </w:rPr>
  </w:style>
  <w:style w:type="paragraph" w:customStyle="1" w:styleId="Spacer">
    <w:name w:val="Spacer"/>
    <w:basedOn w:val="Normal"/>
    <w:rsid w:val="00DA32AB"/>
    <w:rPr>
      <w:sz w:val="2"/>
      <w:szCs w:val="2"/>
    </w:rPr>
  </w:style>
  <w:style w:type="character" w:customStyle="1" w:styleId="Small">
    <w:name w:val="Small"/>
    <w:basedOn w:val="DefaultParagraphFont"/>
    <w:rsid w:val="00DA32AB"/>
    <w:rPr>
      <w:sz w:val="16"/>
    </w:rPr>
  </w:style>
  <w:style w:type="paragraph" w:customStyle="1" w:styleId="WideTable">
    <w:name w:val="Wide Table"/>
    <w:basedOn w:val="Normal"/>
    <w:rsid w:val="00DA32AB"/>
    <w:pPr>
      <w:ind w:left="-1418"/>
    </w:pPr>
    <w:rPr>
      <w:sz w:val="2"/>
      <w:szCs w:val="2"/>
    </w:rPr>
  </w:style>
  <w:style w:type="character" w:styleId="PageNumber">
    <w:name w:val="page number"/>
    <w:basedOn w:val="DefaultParagraphFont"/>
    <w:rsid w:val="00DA32AB"/>
  </w:style>
  <w:style w:type="paragraph" w:styleId="Quote">
    <w:name w:val="Quote"/>
    <w:basedOn w:val="Heading1"/>
    <w:link w:val="QuoteChar"/>
    <w:qFormat/>
    <w:rsid w:val="00DA32AB"/>
    <w:rPr>
      <w:b w:val="0"/>
      <w:sz w:val="72"/>
      <w:szCs w:val="72"/>
      <w:lang w:val="en-NZ"/>
    </w:rPr>
  </w:style>
  <w:style w:type="character" w:customStyle="1" w:styleId="QuoteChar">
    <w:name w:val="Quote Char"/>
    <w:basedOn w:val="DefaultParagraphFont"/>
    <w:link w:val="Quote"/>
    <w:rsid w:val="00DA3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2AB"/>
    <w:pPr>
      <w:pageBreakBefore/>
    </w:pPr>
  </w:style>
  <w:style w:type="paragraph" w:customStyle="1" w:styleId="Border">
    <w:name w:val="Border"/>
    <w:basedOn w:val="Normal"/>
    <w:qFormat/>
    <w:rsid w:val="00DA3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2AB"/>
    <w:rPr>
      <w:b/>
      <w:bCs/>
      <w:i/>
      <w:iCs/>
      <w:color w:val="auto"/>
    </w:rPr>
  </w:style>
  <w:style w:type="paragraph" w:styleId="IntenseQuote">
    <w:name w:val="Intense Quote"/>
    <w:basedOn w:val="Normal"/>
    <w:next w:val="Normal"/>
    <w:link w:val="IntenseQuoteChar"/>
    <w:uiPriority w:val="30"/>
    <w:qFormat/>
    <w:rsid w:val="00DA3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2AB"/>
    <w:rPr>
      <w:smallCaps/>
      <w:color w:val="auto"/>
      <w:u w:val="single"/>
    </w:rPr>
  </w:style>
  <w:style w:type="character" w:styleId="IntenseReference">
    <w:name w:val="Intense Reference"/>
    <w:basedOn w:val="DefaultParagraphFont"/>
    <w:uiPriority w:val="32"/>
    <w:qFormat/>
    <w:rsid w:val="00DA32AB"/>
    <w:rPr>
      <w:b/>
      <w:bCs/>
      <w:smallCaps/>
      <w:color w:val="auto"/>
      <w:spacing w:val="5"/>
      <w:u w:val="single"/>
    </w:rPr>
  </w:style>
  <w:style w:type="paragraph" w:customStyle="1" w:styleId="2ColumnHeading">
    <w:name w:val="2Column Heading"/>
    <w:basedOn w:val="BodyText"/>
    <w:qFormat/>
    <w:rsid w:val="00DA32AB"/>
    <w:pPr>
      <w:spacing w:after="60"/>
      <w:ind w:left="-2268"/>
    </w:pPr>
    <w:rPr>
      <w:b/>
    </w:rPr>
  </w:style>
  <w:style w:type="paragraph" w:customStyle="1" w:styleId="Heading1TOC">
    <w:name w:val="Heading1 TOC"/>
    <w:basedOn w:val="Normal"/>
    <w:qFormat/>
    <w:rsid w:val="00DA32AB"/>
    <w:pPr>
      <w:spacing w:before="240" w:after="120"/>
    </w:pPr>
    <w:rPr>
      <w:rFonts w:ascii="Times New Roman" w:hAnsi="Times New Roman"/>
      <w:b/>
      <w:sz w:val="32"/>
    </w:rPr>
  </w:style>
  <w:style w:type="paragraph" w:customStyle="1" w:styleId="Heading2TOC">
    <w:name w:val="Heading2 TOC"/>
    <w:basedOn w:val="Normal"/>
    <w:qFormat/>
    <w:rsid w:val="00DA32AB"/>
    <w:pPr>
      <w:spacing w:before="240" w:after="60"/>
    </w:pPr>
    <w:rPr>
      <w:rFonts w:ascii="Times New Roman" w:hAnsi="Times New Roman"/>
      <w:b/>
      <w:sz w:val="28"/>
    </w:rPr>
  </w:style>
  <w:style w:type="character" w:customStyle="1" w:styleId="Underline">
    <w:name w:val="Underline"/>
    <w:basedOn w:val="DefaultParagraphFont"/>
    <w:qFormat/>
    <w:rsid w:val="00DA32AB"/>
    <w:rPr>
      <w:u w:val="single"/>
    </w:rPr>
  </w:style>
  <w:style w:type="character" w:customStyle="1" w:styleId="BoldandItalics">
    <w:name w:val="Bold and Italics"/>
    <w:qFormat/>
    <w:rsid w:val="00DA32AB"/>
    <w:rPr>
      <w:b/>
      <w:i/>
      <w:u w:val="none"/>
    </w:rPr>
  </w:style>
  <w:style w:type="paragraph" w:styleId="BalloonText">
    <w:name w:val="Balloon Text"/>
    <w:basedOn w:val="Normal"/>
    <w:link w:val="BalloonTextChar"/>
    <w:rsid w:val="00DA32AB"/>
    <w:rPr>
      <w:rFonts w:ascii="Tahoma" w:hAnsi="Tahoma" w:cs="Tahoma"/>
      <w:sz w:val="16"/>
      <w:szCs w:val="16"/>
    </w:rPr>
  </w:style>
  <w:style w:type="character" w:customStyle="1" w:styleId="BalloonTextChar">
    <w:name w:val="Balloon Text Char"/>
    <w:basedOn w:val="DefaultParagraphFont"/>
    <w:link w:val="BalloonText"/>
    <w:rsid w:val="00DA3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2AB"/>
    <w:rPr>
      <w:b/>
      <w:color w:val="660033"/>
      <w:spacing w:val="0"/>
    </w:rPr>
  </w:style>
  <w:style w:type="paragraph" w:customStyle="1" w:styleId="Nameditemlist">
    <w:name w:val="Named item list"/>
    <w:basedOn w:val="BodyText"/>
    <w:qFormat/>
    <w:rsid w:val="00DA32AB"/>
    <w:pPr>
      <w:tabs>
        <w:tab w:val="left" w:pos="2835"/>
      </w:tabs>
      <w:ind w:left="2835" w:hanging="2835"/>
    </w:pPr>
  </w:style>
  <w:style w:type="paragraph" w:customStyle="1" w:styleId="BodyTextnopadding">
    <w:name w:val="Body Text no padding"/>
    <w:basedOn w:val="BodyText"/>
    <w:qFormat/>
    <w:rsid w:val="00DA32AB"/>
    <w:pPr>
      <w:spacing w:before="0" w:after="0"/>
    </w:pPr>
  </w:style>
  <w:style w:type="paragraph" w:customStyle="1" w:styleId="BodyTextBold">
    <w:name w:val="Body Text Bold"/>
    <w:basedOn w:val="BodyText"/>
    <w:qFormat/>
    <w:rsid w:val="00DA32AB"/>
    <w:rPr>
      <w:b/>
    </w:rPr>
  </w:style>
  <w:style w:type="character" w:styleId="Hyperlink">
    <w:name w:val="Hyperlink"/>
    <w:basedOn w:val="DefaultParagraphFont"/>
    <w:uiPriority w:val="99"/>
    <w:unhideWhenUsed/>
    <w:rsid w:val="00F44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6201</Characters>
  <Application>Microsoft Office Word</Application>
  <DocSecurity>0</DocSecurity>
  <Lines>129</Lines>
  <Paragraphs>99</Paragraphs>
  <ScaleCrop>false</ScaleCrop>
  <Company>Author-it Software Corporation Ltd.</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UEEEL0023 Terminate cables, cords and accessories for low voltage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