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3F4" w:rsidP="006E1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UEEEL0021 Solve problems in magnetic and electromagnetic devices</w:t>
      </w:r>
      <w:r>
        <w:fldChar w:fldCharType="end"/>
      </w:r>
    </w:p>
    <w:p w:rsidR="006E13F4" w:rsidP="006E13F4">
      <w:pPr>
        <w:pStyle w:val="Version"/>
        <w:sectPr w:rsidSect="00E27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7A8F" w:rsidP="00E27A8F">
      <w:pPr>
        <w:pStyle w:val="SuperHeading"/>
      </w:pPr>
      <w:r w:rsidRPr="00E27A8F">
        <w:t>Assessment Requirements for UEEEL0021 Solve problems in magnetic and electromagnetic devices</w:t>
      </w:r>
    </w:p>
    <w:p w:rsidR="00000000" w:rsidRPr="00E27A8F" w:rsidP="00E27A8F">
      <w:pPr>
        <w:pStyle w:val="Heading1"/>
      </w:pPr>
      <w:bookmarkStart w:id="1" w:name="O_1238099"/>
      <w:bookmarkEnd w:id="1"/>
      <w:r w:rsidRPr="00E27A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8F" w:rsidP="00E27A8F">
            <w:pPr>
              <w:pStyle w:val="BodyText"/>
            </w:pPr>
            <w:r w:rsidRPr="00E27A8F">
              <w:t>Release 2. This is the second release of this unit of competency in the UEE Electrotechnology Training Package.</w:t>
            </w:r>
          </w:p>
          <w:p w:rsidR="00000000" w:rsidP="00E27A8F">
            <w:pPr>
              <w:pStyle w:val="BodyText"/>
              <w:rPr>
                <w:lang w:val="en-NZ"/>
              </w:rPr>
            </w:pPr>
            <w:r w:rsidRPr="00E27A8F">
              <w:t>Assessor requirements updated in Assessment Conditions.</w:t>
            </w:r>
          </w:p>
        </w:tc>
      </w:tr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8F" w:rsidP="00E27A8F">
            <w:pPr>
              <w:pStyle w:val="BodyText"/>
            </w:pPr>
            <w:r w:rsidRPr="00E27A8F">
              <w:t>Release 1. This is the first release of this unit of competency in the UEE Electrotechnology Training Package.</w:t>
            </w:r>
          </w:p>
        </w:tc>
      </w:tr>
    </w:tbl>
    <w:p w:rsidR="00000000" w:rsidRPr="00E27A8F" w:rsidP="00E27A8F">
      <w:pPr>
        <w:pStyle w:val="NoPaddingFontSize1"/>
      </w:pPr>
    </w:p>
    <w:p w:rsidR="00000000" w:rsidRPr="00E27A8F" w:rsidP="00E27A8F">
      <w:pPr>
        <w:pStyle w:val="AllowPageBreak"/>
      </w:pPr>
    </w:p>
    <w:p w:rsidR="00000000" w:rsidRPr="00E27A8F" w:rsidP="00E27A8F">
      <w:pPr>
        <w:pStyle w:val="Heading1"/>
      </w:pPr>
      <w:bookmarkStart w:id="2" w:name="O_1238098"/>
      <w:bookmarkEnd w:id="2"/>
      <w:r w:rsidRPr="00E27A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8F">
            <w:pPr>
              <w:pStyle w:val="BodyText"/>
              <w:rPr>
                <w:lang w:val="en-NZ"/>
              </w:rPr>
            </w:pPr>
            <w:r w:rsidRPr="00E27A8F">
              <w:t>Evidence required to demonstrate competence in</w:t>
            </w:r>
            <w:r w:rsidRPr="00E27A8F">
              <w:t xml:space="preserve"> this unit must be relevant to and satisfy all of the requirements of the elements, performance criteria and range of conditions on at least two separate occasions and include: </w:t>
            </w:r>
          </w:p>
        </w:tc>
      </w:tr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8F" w:rsidP="00E27A8F">
            <w:pPr>
              <w:pStyle w:val="ListBullet"/>
            </w:pPr>
            <w:r w:rsidRPr="00E27A8F">
              <w:t>applying work health and safety (WHS)/occupational health and safety (OHS) r</w:t>
            </w:r>
            <w:r w:rsidRPr="00E27A8F">
              <w:t>equirements, including:</w:t>
            </w:r>
          </w:p>
          <w:p w:rsidR="00000000" w:rsidRPr="00E27A8F" w:rsidP="00E27A8F">
            <w:pPr>
              <w:pStyle w:val="ListBullet2"/>
            </w:pPr>
            <w:r w:rsidRPr="00E27A8F">
              <w:t>identifying hazards and assessing risks and applying control measures</w:t>
            </w:r>
          </w:p>
          <w:p w:rsidR="00000000" w:rsidRPr="00E27A8F" w:rsidP="00E27A8F">
            <w:pPr>
              <w:pStyle w:val="ListBullet2"/>
            </w:pPr>
            <w:r w:rsidRPr="00E27A8F">
              <w:t>confirming isolation of circuits</w:t>
            </w:r>
          </w:p>
          <w:p w:rsidR="00000000" w:rsidRPr="00E27A8F" w:rsidP="00E27A8F">
            <w:pPr>
              <w:pStyle w:val="ListBullet"/>
            </w:pPr>
            <w:r w:rsidRPr="00E27A8F">
              <w:t xml:space="preserve">using methodological techniques to solve problems in circuits with an electromagnetic </w:t>
            </w:r>
            <w:r w:rsidRPr="00E27A8F">
              <w:t>device from measured and calculated values</w:t>
            </w:r>
          </w:p>
          <w:p w:rsidR="00000000" w:rsidRPr="00E27A8F" w:rsidP="00E27A8F">
            <w:pPr>
              <w:pStyle w:val="ListBullet"/>
            </w:pPr>
            <w:r w:rsidRPr="00E27A8F">
              <w:t>determining the operating parameters of an existing circuit with an electromagnetic device, including:</w:t>
            </w:r>
          </w:p>
          <w:p w:rsidR="00000000" w:rsidRPr="00E27A8F" w:rsidP="00E27A8F">
            <w:pPr>
              <w:pStyle w:val="ListBullet3"/>
            </w:pPr>
            <w:r w:rsidRPr="00E27A8F">
              <w:t>the direction of magnetic field around a current-carrying conductor and a coil</w:t>
            </w:r>
          </w:p>
          <w:p w:rsidR="00000000" w:rsidRPr="00E27A8F" w:rsidP="00E27A8F">
            <w:pPr>
              <w:pStyle w:val="ListBullet3"/>
            </w:pPr>
            <w:r w:rsidRPr="00E27A8F">
              <w:t>a current-carrying conductor u</w:t>
            </w:r>
            <w:r w:rsidRPr="00E27A8F">
              <w:t>nder the influence of a magnetic field</w:t>
            </w:r>
          </w:p>
          <w:p w:rsidR="00000000" w:rsidRPr="00E27A8F" w:rsidP="00E27A8F">
            <w:pPr>
              <w:pStyle w:val="ListBullet"/>
            </w:pPr>
            <w:r w:rsidRPr="00E27A8F">
              <w:t>modifying an existing circuit with an electromagnetic device to comply with specified operating parameters</w:t>
            </w:r>
          </w:p>
          <w:p w:rsidR="00000000" w:rsidRPr="00E27A8F" w:rsidP="00E27A8F">
            <w:pPr>
              <w:pStyle w:val="ListBullet"/>
            </w:pPr>
            <w:r w:rsidRPr="00E27A8F">
              <w:t>connecting electromagnetic devices to comply with a specified function and operating parameters</w:t>
            </w:r>
          </w:p>
          <w:p w:rsidR="00000000" w:rsidRPr="00E27A8F" w:rsidP="00E27A8F">
            <w:pPr>
              <w:pStyle w:val="ListBullet"/>
            </w:pPr>
            <w:r w:rsidRPr="00E27A8F">
              <w:t>completing work and documenting activities.</w:t>
            </w:r>
          </w:p>
        </w:tc>
      </w:tr>
    </w:tbl>
    <w:p w:rsidR="00000000" w:rsidRPr="00E27A8F" w:rsidP="00E27A8F">
      <w:pPr>
        <w:pStyle w:val="NoPaddingFontSize1"/>
      </w:pPr>
    </w:p>
    <w:p w:rsidR="00000000" w:rsidRPr="00E27A8F" w:rsidP="00E27A8F">
      <w:pPr>
        <w:pStyle w:val="AllowPageBreak"/>
      </w:pPr>
    </w:p>
    <w:p w:rsidR="00000000" w:rsidRPr="00E27A8F" w:rsidP="00E27A8F">
      <w:pPr>
        <w:pStyle w:val="Heading1"/>
      </w:pPr>
      <w:bookmarkStart w:id="3" w:name="O_1238097"/>
      <w:bookmarkEnd w:id="3"/>
      <w:r w:rsidRPr="00E27A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8F">
            <w:pPr>
              <w:pStyle w:val="BodyText"/>
              <w:rPr>
                <w:lang w:val="en-NZ"/>
              </w:rPr>
            </w:pPr>
            <w:r w:rsidRPr="00E27A8F">
              <w:t>Evidence required to demonstrate competence in this unit must be relevant to and satisfy all of the requirements of the elements, performance criteria and range of conditio</w:t>
            </w:r>
            <w:r w:rsidRPr="00E27A8F">
              <w:t xml:space="preserve">ns and include knowledge of: </w:t>
            </w:r>
          </w:p>
        </w:tc>
      </w:tr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8F" w:rsidP="00E27A8F">
            <w:pPr>
              <w:pStyle w:val="ListBullet"/>
            </w:pPr>
            <w:r w:rsidRPr="00E27A8F">
              <w:t>magnetism, including:</w:t>
            </w:r>
          </w:p>
          <w:p w:rsidR="00000000" w:rsidRPr="00E27A8F" w:rsidP="00E27A8F">
            <w:pPr>
              <w:pStyle w:val="ListBullet2"/>
            </w:pPr>
            <w:r w:rsidRPr="00E27A8F">
              <w:t xml:space="preserve">common magnetic and non-magnetic materials </w:t>
            </w:r>
          </w:p>
          <w:p w:rsidR="00000000" w:rsidRPr="00E27A8F" w:rsidP="00E27A8F">
            <w:pPr>
              <w:pStyle w:val="ListBullet2"/>
            </w:pPr>
            <w:r w:rsidRPr="00E27A8F">
              <w:t>magnetic field patterns of magnets</w:t>
            </w:r>
          </w:p>
          <w:p w:rsidR="00000000" w:rsidRPr="00E27A8F" w:rsidP="00E27A8F">
            <w:pPr>
              <w:pStyle w:val="ListBullet2"/>
            </w:pPr>
            <w:r w:rsidRPr="00E27A8F">
              <w:t>magnets attraction and repulsion when brought in contact with each other</w:t>
            </w:r>
          </w:p>
          <w:p w:rsidR="00000000" w:rsidRPr="00E27A8F" w:rsidP="00E27A8F">
            <w:pPr>
              <w:pStyle w:val="ListBullet2"/>
            </w:pPr>
            <w:r w:rsidRPr="00E27A8F">
              <w:t>practical applications of magnets</w:t>
            </w:r>
          </w:p>
          <w:p w:rsidR="00000000" w:rsidRPr="00E27A8F" w:rsidP="00E27A8F">
            <w:pPr>
              <w:pStyle w:val="ListBullet2"/>
            </w:pPr>
            <w:r w:rsidRPr="00E27A8F">
              <w:t>principle of magnetic screening (shielding) and its applications</w:t>
            </w:r>
          </w:p>
          <w:p w:rsidR="00000000" w:rsidRPr="00E27A8F" w:rsidP="00E27A8F">
            <w:pPr>
              <w:pStyle w:val="ListBullet"/>
            </w:pPr>
            <w:r w:rsidRPr="00E27A8F">
              <w:t>electromagnetism, including:</w:t>
            </w:r>
          </w:p>
          <w:p w:rsidR="00000000" w:rsidRPr="00E27A8F" w:rsidP="00E27A8F">
            <w:pPr>
              <w:pStyle w:val="ListBullet2"/>
            </w:pPr>
            <w:r w:rsidRPr="00E27A8F">
              <w:t>conventions representing direction of current flow in a conductor</w:t>
            </w:r>
          </w:p>
          <w:p w:rsidR="00000000" w:rsidRPr="00E27A8F" w:rsidP="00E27A8F">
            <w:pPr>
              <w:pStyle w:val="ListBullet2"/>
            </w:pPr>
            <w:r w:rsidRPr="00E27A8F">
              <w:t>direction of force between adjacent current-carrying conductors</w:t>
            </w:r>
          </w:p>
          <w:p w:rsidR="00000000" w:rsidRPr="00E27A8F" w:rsidP="00E27A8F">
            <w:pPr>
              <w:pStyle w:val="ListBullet2"/>
            </w:pPr>
            <w:r w:rsidRPr="00E27A8F">
              <w:t xml:space="preserve">effect of current, length and distance apart on the force between conductors </w:t>
            </w:r>
          </w:p>
          <w:p w:rsidR="00000000" w:rsidRPr="00E27A8F" w:rsidP="00E27A8F">
            <w:pPr>
              <w:pStyle w:val="ListBullet2"/>
            </w:pPr>
            <w:r w:rsidRPr="00E27A8F">
              <w:t>magnetic field around an electromagnet, a single conductor and two adjacent conductors carrying current</w:t>
            </w:r>
          </w:p>
          <w:p w:rsidR="00000000" w:rsidRPr="00E27A8F" w:rsidP="00E27A8F">
            <w:pPr>
              <w:pStyle w:val="ListBullet2"/>
            </w:pPr>
            <w:r w:rsidRPr="00E27A8F">
              <w:t>magnetomotive force (mmf) and its relationship to the number of turns in a</w:t>
            </w:r>
            <w:r w:rsidRPr="00E27A8F">
              <w:t xml:space="preserve"> coil and the current flowing in the coil </w:t>
            </w:r>
          </w:p>
          <w:p w:rsidR="00000000" w:rsidRPr="00E27A8F" w:rsidP="00E27A8F">
            <w:pPr>
              <w:pStyle w:val="ListBullet2"/>
            </w:pPr>
            <w:r w:rsidRPr="00E27A8F">
              <w:t>practical applications of electromagnets</w:t>
            </w:r>
          </w:p>
          <w:p w:rsidR="00000000" w:rsidRPr="00E27A8F" w:rsidP="00E27A8F">
            <w:pPr>
              <w:pStyle w:val="ListBullet"/>
            </w:pPr>
            <w:r w:rsidRPr="00E27A8F">
              <w:t>magnetic circuit types and associated terminology</w:t>
            </w:r>
          </w:p>
          <w:p w:rsidR="00000000" w:rsidRPr="00E27A8F" w:rsidP="00E27A8F">
            <w:pPr>
              <w:pStyle w:val="ListBullet"/>
            </w:pPr>
            <w:r w:rsidRPr="00E27A8F">
              <w:t>methods used to reduce electrical losses in a magnetic circuit</w:t>
            </w:r>
          </w:p>
          <w:p w:rsidR="00000000" w:rsidRPr="00E27A8F" w:rsidP="00E27A8F">
            <w:pPr>
              <w:pStyle w:val="ListBullet"/>
            </w:pPr>
            <w:r w:rsidRPr="00E27A8F">
              <w:t xml:space="preserve">electromagnetic induction, including: </w:t>
            </w:r>
          </w:p>
          <w:p w:rsidR="00000000" w:rsidRPr="00E27A8F" w:rsidP="00E27A8F">
            <w:pPr>
              <w:pStyle w:val="ListBullet2"/>
            </w:pPr>
            <w:r w:rsidRPr="00E27A8F">
              <w:t>principle of elect</w:t>
            </w:r>
            <w:r w:rsidRPr="00E27A8F">
              <w:t xml:space="preserve">romagnetic induction </w:t>
            </w:r>
          </w:p>
          <w:p w:rsidR="00000000" w:rsidRPr="00E27A8F" w:rsidP="00E27A8F">
            <w:pPr>
              <w:pStyle w:val="ListBullet2"/>
            </w:pPr>
            <w:r w:rsidRPr="00E27A8F">
              <w:t>applications of electromagnetic induction</w:t>
            </w:r>
          </w:p>
          <w:p w:rsidR="00000000" w:rsidRPr="00E27A8F" w:rsidP="00E27A8F">
            <w:pPr>
              <w:pStyle w:val="ListBullet2"/>
            </w:pPr>
            <w:r w:rsidRPr="00E27A8F">
              <w:t>Lenz’s law</w:t>
            </w:r>
          </w:p>
          <w:p w:rsidR="00000000" w:rsidRPr="00E27A8F" w:rsidP="00E27A8F">
            <w:pPr>
              <w:pStyle w:val="ListBullet"/>
            </w:pPr>
            <w:r w:rsidRPr="00E27A8F">
              <w:t xml:space="preserve">inductance, including: </w:t>
            </w:r>
          </w:p>
          <w:p w:rsidR="00000000" w:rsidRPr="00E27A8F" w:rsidP="00E27A8F">
            <w:pPr>
              <w:pStyle w:val="ListBullet2"/>
            </w:pPr>
            <w:r w:rsidRPr="00E27A8F">
              <w:t>applications of the different types of inductors</w:t>
            </w:r>
          </w:p>
          <w:p w:rsidR="00000000" w:rsidRPr="00E27A8F" w:rsidP="00E27A8F">
            <w:pPr>
              <w:pStyle w:val="ListBullet2"/>
            </w:pPr>
            <w:r w:rsidRPr="00E27A8F">
              <w:t>industry standard symbols for inductors</w:t>
            </w:r>
          </w:p>
          <w:p w:rsidR="00000000" w:rsidRPr="00E27A8F" w:rsidP="00E27A8F">
            <w:pPr>
              <w:pStyle w:val="ListBullet2"/>
            </w:pPr>
            <w:r w:rsidRPr="00E27A8F">
              <w:t>types of inductor cores</w:t>
            </w:r>
          </w:p>
          <w:p w:rsidR="00000000" w:rsidRPr="00E27A8F" w:rsidP="00E27A8F">
            <w:pPr>
              <w:pStyle w:val="ListBullet2"/>
            </w:pPr>
            <w:r w:rsidRPr="00E27A8F">
              <w:t>construction of an inductor</w:t>
            </w:r>
          </w:p>
          <w:p w:rsidR="00000000" w:rsidRPr="00E27A8F" w:rsidP="00E27A8F">
            <w:pPr>
              <w:pStyle w:val="ListBullet2"/>
            </w:pPr>
            <w:r w:rsidRPr="00E27A8F">
              <w:t>definition of terms: self-induction, inductance and mutual inductance, and time constants</w:t>
            </w:r>
          </w:p>
          <w:p w:rsidR="00000000" w:rsidRPr="00E27A8F" w:rsidP="00E27A8F">
            <w:pPr>
              <w:pStyle w:val="ListBullet2"/>
            </w:pPr>
            <w:r w:rsidRPr="00E27A8F">
              <w:t>effect of physical parameters on the inductance of an inductor</w:t>
            </w:r>
          </w:p>
          <w:p w:rsidR="00000000" w:rsidRPr="00E27A8F" w:rsidP="00E27A8F">
            <w:pPr>
              <w:pStyle w:val="ListBullet2"/>
            </w:pPr>
            <w:r w:rsidRPr="00E27A8F">
              <w:t>relationship between load voltage, current and self-induced electromagnetic force in a direct current (</w:t>
            </w:r>
            <w:r w:rsidRPr="00E27A8F">
              <w:t>d.c.) circuit having inductance</w:t>
            </w:r>
          </w:p>
          <w:p w:rsidR="00000000" w:rsidRPr="00E27A8F" w:rsidP="00E27A8F">
            <w:pPr>
              <w:pStyle w:val="ListBullet2"/>
            </w:pPr>
            <w:r w:rsidRPr="00E27A8F">
              <w:t>practical applications for the effects of self and mutual induction</w:t>
            </w:r>
          </w:p>
          <w:p w:rsidR="00000000" w:rsidRPr="00E27A8F" w:rsidP="00E27A8F">
            <w:pPr>
              <w:pStyle w:val="ListBullet2"/>
            </w:pPr>
            <w:r w:rsidRPr="00E27A8F">
              <w:t>undesirable effects of self and mutual induction</w:t>
            </w:r>
          </w:p>
          <w:p w:rsidR="00000000" w:rsidRPr="00E27A8F" w:rsidP="00E27A8F">
            <w:pPr>
              <w:pStyle w:val="ListBullet"/>
            </w:pPr>
            <w:r w:rsidRPr="00E27A8F">
              <w:t>magnetic principles in measurement instruments</w:t>
            </w:r>
          </w:p>
          <w:p w:rsidR="00000000" w:rsidRPr="00E27A8F" w:rsidP="00E27A8F">
            <w:pPr>
              <w:pStyle w:val="ListBullet"/>
            </w:pPr>
            <w:r w:rsidRPr="00E27A8F">
              <w:t xml:space="preserve">magnetic devices, including: </w:t>
            </w:r>
          </w:p>
          <w:p w:rsidR="00000000" w:rsidRPr="00E27A8F" w:rsidP="00E27A8F">
            <w:pPr>
              <w:pStyle w:val="ListBullet2"/>
            </w:pPr>
            <w:r w:rsidRPr="00E27A8F">
              <w:t>operation and application of</w:t>
            </w:r>
            <w:r w:rsidRPr="00E27A8F">
              <w:t>:</w:t>
            </w:r>
          </w:p>
          <w:p w:rsidR="00000000" w:rsidRPr="00E27A8F" w:rsidP="00E27A8F">
            <w:pPr>
              <w:pStyle w:val="ListBullet3"/>
            </w:pPr>
            <w:r w:rsidRPr="00E27A8F">
              <w:t>magnetic sensing devices</w:t>
            </w:r>
          </w:p>
          <w:p w:rsidR="00000000" w:rsidRPr="00E27A8F" w:rsidP="00E27A8F">
            <w:pPr>
              <w:pStyle w:val="ListBullet3"/>
            </w:pPr>
            <w:r w:rsidRPr="00E27A8F">
              <w:t>contactors and relays</w:t>
            </w:r>
          </w:p>
          <w:p w:rsidR="00000000" w:rsidRPr="00E27A8F" w:rsidP="00E27A8F">
            <w:pPr>
              <w:pStyle w:val="ListBullet3"/>
            </w:pPr>
            <w:r w:rsidRPr="00E27A8F">
              <w:t>solenoids</w:t>
            </w:r>
          </w:p>
          <w:p w:rsidR="00000000" w:rsidRPr="00E27A8F" w:rsidP="00E27A8F">
            <w:pPr>
              <w:pStyle w:val="ListBullet2"/>
            </w:pPr>
            <w:r w:rsidRPr="00E27A8F">
              <w:t>magnetic methods used to extinguish the arc between opening contacts</w:t>
            </w:r>
          </w:p>
          <w:p w:rsidR="00000000" w:rsidRPr="00E27A8F" w:rsidP="00E27A8F">
            <w:pPr>
              <w:pStyle w:val="ListBullet"/>
            </w:pPr>
            <w:r w:rsidRPr="00E27A8F">
              <w:t>relevant manufacturer specifications</w:t>
            </w:r>
          </w:p>
        </w:tc>
      </w:tr>
    </w:tbl>
    <w:p w:rsidR="00000000" w:rsidRPr="00E27A8F" w:rsidP="00E27A8F">
      <w:pPr>
        <w:pStyle w:val="NoPaddingFontSize1"/>
      </w:pPr>
    </w:p>
    <w:p w:rsidR="00000000" w:rsidRPr="00E27A8F" w:rsidP="00E27A8F">
      <w:pPr>
        <w:pStyle w:val="AllowPageBreak"/>
      </w:pPr>
    </w:p>
    <w:p w:rsidR="00000000" w:rsidRPr="00E27A8F" w:rsidP="00E27A8F">
      <w:pPr>
        <w:pStyle w:val="Heading1"/>
      </w:pPr>
      <w:bookmarkStart w:id="4" w:name="O_1238096"/>
      <w:bookmarkEnd w:id="4"/>
      <w:r w:rsidRPr="00E27A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8F" w:rsidP="00E27A8F">
            <w:pPr>
              <w:pStyle w:val="BodyText"/>
            </w:pPr>
            <w:r w:rsidRPr="00E27A8F">
              <w:t xml:space="preserve">Assessors must hold credentials specified within the Standards for Registered Training </w:t>
            </w:r>
            <w:r w:rsidRPr="00E27A8F">
              <w:t>Organisations current at the time of assessment.</w:t>
            </w:r>
          </w:p>
          <w:p w:rsidR="00000000" w:rsidRPr="00E27A8F" w:rsidP="00E27A8F">
            <w:pPr>
              <w:pStyle w:val="BodyText"/>
            </w:pPr>
            <w:r w:rsidRPr="00E27A8F">
              <w:t>Assessors must also hold the occupational licence for the jurisdiction the assessment is occurring where the activity be</w:t>
            </w:r>
            <w:r w:rsidRPr="00E27A8F">
              <w:t>ing assessed requires a licence to practice.</w:t>
            </w:r>
          </w:p>
          <w:p w:rsidR="00000000" w:rsidRPr="00E27A8F" w:rsidP="00E27A8F">
            <w:pPr>
              <w:pStyle w:val="BodyText"/>
            </w:pPr>
            <w:r w:rsidRPr="00E27A8F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E27A8F" w:rsidP="00E27A8F">
            <w:pPr>
              <w:pStyle w:val="BodyText"/>
            </w:pPr>
            <w:r w:rsidRPr="00E27A8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27A8F" w:rsidP="00E27A8F">
            <w:pPr>
              <w:pStyle w:val="BodyText"/>
            </w:pPr>
            <w:r w:rsidRPr="00E27A8F">
              <w:t>Assessment processes and tec</w:t>
            </w:r>
            <w:r w:rsidRPr="00E27A8F">
              <w:t>hniques must be appropriate to the language, literacy and numeracy requirements of the work being performed and the needs of the candidate.</w:t>
            </w:r>
          </w:p>
          <w:p w:rsidR="00000000" w:rsidRPr="00E27A8F" w:rsidP="00E27A8F">
            <w:pPr>
              <w:pStyle w:val="BodyText"/>
            </w:pPr>
            <w:r w:rsidRPr="00E27A8F">
              <w:t>Resources for assessment must include access to:</w:t>
            </w:r>
          </w:p>
          <w:p w:rsidR="00000000" w:rsidRPr="00E27A8F" w:rsidP="00E27A8F">
            <w:pPr>
              <w:pStyle w:val="ListBullet"/>
            </w:pPr>
            <w:r w:rsidRPr="00E27A8F">
              <w:t>a range of relevant exercises, case studies and/or other simulatio</w:t>
            </w:r>
            <w:r w:rsidRPr="00E27A8F">
              <w:t>ns</w:t>
            </w:r>
          </w:p>
          <w:p w:rsidR="00000000" w:rsidRPr="00E27A8F" w:rsidP="00E27A8F">
            <w:pPr>
              <w:pStyle w:val="ListBullet"/>
            </w:pPr>
            <w:r w:rsidRPr="00E27A8F">
              <w:t xml:space="preserve">relevant and appropriate materials, tools, facilities, equipment and personal protective equipment (PPE) currently used in industry </w:t>
            </w:r>
          </w:p>
          <w:p w:rsidR="00000000" w:rsidRPr="00E27A8F" w:rsidP="00E27A8F">
            <w:pPr>
              <w:pStyle w:val="ListBullet"/>
            </w:pPr>
            <w:r w:rsidRPr="00E27A8F">
              <w:t>applicable documentation, including workplace procedures, equipment specifications, regulations, relevant industry stand</w:t>
            </w:r>
            <w:r w:rsidRPr="00E27A8F">
              <w:t>ards, codes of practice and operation manuals.</w:t>
            </w:r>
          </w:p>
        </w:tc>
      </w:tr>
    </w:tbl>
    <w:p w:rsidR="00000000" w:rsidRPr="00E27A8F" w:rsidP="00E27A8F">
      <w:pPr>
        <w:pStyle w:val="NoPaddingFontSize1"/>
      </w:pPr>
    </w:p>
    <w:p w:rsidR="00000000" w:rsidRPr="00E27A8F" w:rsidP="00E27A8F">
      <w:pPr>
        <w:pStyle w:val="AllowPageBreak"/>
      </w:pPr>
    </w:p>
    <w:p w:rsidR="00000000" w:rsidRPr="00E27A8F" w:rsidP="00E27A8F">
      <w:pPr>
        <w:pStyle w:val="Heading1"/>
      </w:pPr>
      <w:bookmarkStart w:id="5" w:name="O_1238111"/>
      <w:bookmarkEnd w:id="5"/>
      <w:r w:rsidRPr="00E27A8F">
        <w:t>Links</w:t>
      </w:r>
    </w:p>
    <w:p w:rsidR="00000000" w:rsidRPr="00E27A8F" w:rsidP="006E13F4">
      <w:pPr>
        <w:pStyle w:val="BodyText"/>
      </w:pPr>
      <w:r w:rsidRPr="00E27A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C240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27A8F" w:rsidP="00E27A8F"/>
    <w:sectPr w:rsidSect="00E27A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8F" w:rsidRPr="006E13F4" w:rsidP="006E1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F4" w:rsidP="00E27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3F4" w:rsidP="00E27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E13F4" w:rsidP="00E27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A8F" w:rsidRPr="006E13F4" w:rsidP="006E1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F4" w:rsidRPr="002D2AF8" w:rsidP="00E27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UEEEL0021 Solve problems in magnetic and electromagnetic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E13F4" w:rsidP="00E27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DA7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7EC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EAE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A8F"/>
  </w:style>
  <w:style w:type="character" w:customStyle="1" w:styleId="Heading1Char">
    <w:name w:val="Heading 1 Char"/>
    <w:basedOn w:val="DefaultParagraphFont"/>
    <w:link w:val="Heading1"/>
    <w:rsid w:val="00E27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A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A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A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7A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7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7A8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7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A8F"/>
    <w:rPr>
      <w:b/>
      <w:spacing w:val="0"/>
    </w:rPr>
  </w:style>
  <w:style w:type="paragraph" w:customStyle="1" w:styleId="SuperTitle">
    <w:name w:val="SuperTitle"/>
    <w:basedOn w:val="Title"/>
    <w:rsid w:val="00E27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7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A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A8F"/>
    <w:rPr>
      <w:i/>
    </w:rPr>
  </w:style>
  <w:style w:type="paragraph" w:styleId="Caption">
    <w:name w:val="caption"/>
    <w:basedOn w:val="BodyText"/>
    <w:next w:val="Normal"/>
    <w:qFormat/>
    <w:rsid w:val="00E27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A8F"/>
  </w:style>
  <w:style w:type="paragraph" w:styleId="TableofFigures">
    <w:name w:val="table of figures"/>
    <w:basedOn w:val="Normal"/>
    <w:next w:val="Normal"/>
    <w:semiHidden/>
    <w:rsid w:val="00E27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A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7A8F"/>
    <w:rPr>
      <w:rFonts w:ascii="Wingdings" w:hAnsi="Wingdings"/>
    </w:rPr>
  </w:style>
  <w:style w:type="paragraph" w:customStyle="1" w:styleId="TableHeading">
    <w:name w:val="Table Heading"/>
    <w:basedOn w:val="HeadingBase"/>
    <w:rsid w:val="00E27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A8F"/>
    <w:rPr>
      <w:color w:val="0033CC"/>
      <w:u w:val="none"/>
    </w:rPr>
  </w:style>
  <w:style w:type="paragraph" w:customStyle="1" w:styleId="BodyTextRight">
    <w:name w:val="Body Text Right"/>
    <w:basedOn w:val="BodyText"/>
    <w:rsid w:val="00E27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A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A8F"/>
    <w:rPr>
      <w:sz w:val="32"/>
    </w:rPr>
  </w:style>
  <w:style w:type="paragraph" w:customStyle="1" w:styleId="HeadingProcedure">
    <w:name w:val="Heading Procedure"/>
    <w:basedOn w:val="HeadingBase"/>
    <w:next w:val="Normal"/>
    <w:rsid w:val="00E27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A8F"/>
    <w:pPr>
      <w:spacing w:before="60" w:after="60"/>
    </w:pPr>
  </w:style>
  <w:style w:type="paragraph" w:styleId="ListContinue">
    <w:name w:val="List Continue"/>
    <w:basedOn w:val="List"/>
    <w:rsid w:val="00E27A8F"/>
    <w:pPr>
      <w:ind w:firstLine="0"/>
    </w:pPr>
  </w:style>
  <w:style w:type="paragraph" w:customStyle="1" w:styleId="ListNote">
    <w:name w:val="List Note"/>
    <w:basedOn w:val="List"/>
    <w:rsid w:val="00E27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A8F"/>
    <w:rPr>
      <w:rFonts w:ascii="Courier New" w:hAnsi="Courier New"/>
    </w:rPr>
  </w:style>
  <w:style w:type="paragraph" w:customStyle="1" w:styleId="NoteBullet">
    <w:name w:val="Note Bullet"/>
    <w:basedOn w:val="Note"/>
    <w:rsid w:val="00E27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A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7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A8F"/>
    <w:rPr>
      <w:b/>
      <w:smallCaps/>
    </w:rPr>
  </w:style>
  <w:style w:type="paragraph" w:customStyle="1" w:styleId="TableListNumber">
    <w:name w:val="Table List Number"/>
    <w:basedOn w:val="ListNumber"/>
    <w:rsid w:val="00E27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A8F"/>
    <w:pPr>
      <w:numPr>
        <w:numId w:val="10"/>
      </w:numPr>
    </w:pPr>
  </w:style>
  <w:style w:type="paragraph" w:customStyle="1" w:styleId="ListAlpha2">
    <w:name w:val="List Alpha 2"/>
    <w:basedOn w:val="List2"/>
    <w:rsid w:val="00E27A8F"/>
    <w:pPr>
      <w:numPr>
        <w:numId w:val="9"/>
      </w:numPr>
    </w:pPr>
  </w:style>
  <w:style w:type="paragraph" w:styleId="List2">
    <w:name w:val="List 2"/>
    <w:basedOn w:val="BodyText"/>
    <w:rsid w:val="00E27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A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7A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7A8F"/>
    <w:pPr>
      <w:numPr>
        <w:numId w:val="5"/>
      </w:numPr>
    </w:pPr>
  </w:style>
  <w:style w:type="paragraph" w:styleId="ListContinue2">
    <w:name w:val="List Continue 2"/>
    <w:basedOn w:val="List2"/>
    <w:rsid w:val="00E27A8F"/>
    <w:pPr>
      <w:ind w:firstLine="0"/>
    </w:pPr>
  </w:style>
  <w:style w:type="paragraph" w:styleId="ListContinue3">
    <w:name w:val="List Continue 3"/>
    <w:basedOn w:val="List3"/>
    <w:rsid w:val="00E27A8F"/>
    <w:pPr>
      <w:ind w:left="1021" w:firstLine="0"/>
    </w:pPr>
  </w:style>
  <w:style w:type="paragraph" w:styleId="ListContinue4">
    <w:name w:val="List Continue 4"/>
    <w:basedOn w:val="List4"/>
    <w:rsid w:val="00E27A8F"/>
    <w:pPr>
      <w:ind w:firstLine="0"/>
    </w:pPr>
  </w:style>
  <w:style w:type="paragraph" w:styleId="ListContinue5">
    <w:name w:val="List Continue 5"/>
    <w:basedOn w:val="List5"/>
    <w:rsid w:val="00E27A8F"/>
    <w:pPr>
      <w:ind w:firstLine="0"/>
    </w:pPr>
  </w:style>
  <w:style w:type="paragraph" w:styleId="ListNumber3">
    <w:name w:val="List Number 3"/>
    <w:basedOn w:val="List3"/>
    <w:rsid w:val="00E27A8F"/>
    <w:pPr>
      <w:numPr>
        <w:numId w:val="6"/>
      </w:numPr>
    </w:pPr>
  </w:style>
  <w:style w:type="paragraph" w:styleId="ListNumber4">
    <w:name w:val="List Number 4"/>
    <w:basedOn w:val="List4"/>
    <w:rsid w:val="00E27A8F"/>
    <w:pPr>
      <w:numPr>
        <w:numId w:val="7"/>
      </w:numPr>
    </w:pPr>
  </w:style>
  <w:style w:type="paragraph" w:styleId="ListNumber5">
    <w:name w:val="List Number 5"/>
    <w:basedOn w:val="List5"/>
    <w:rsid w:val="00E27A8F"/>
    <w:pPr>
      <w:numPr>
        <w:numId w:val="8"/>
      </w:numPr>
    </w:pPr>
  </w:style>
  <w:style w:type="paragraph" w:styleId="BlockText">
    <w:name w:val="Block Text"/>
    <w:basedOn w:val="Normal"/>
    <w:rsid w:val="00E27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A8F"/>
    <w:rPr>
      <w:sz w:val="16"/>
      <w:vertAlign w:val="superscript"/>
    </w:rPr>
  </w:style>
  <w:style w:type="character" w:customStyle="1" w:styleId="Symbols">
    <w:name w:val="Symbols"/>
    <w:basedOn w:val="DefaultParagraphFont"/>
    <w:rsid w:val="00E27A8F"/>
    <w:rPr>
      <w:rFonts w:ascii="Symbol" w:hAnsi="Symbol"/>
    </w:rPr>
  </w:style>
  <w:style w:type="character" w:customStyle="1" w:styleId="MenuOptions">
    <w:name w:val="Menu Options"/>
    <w:basedOn w:val="DefaultParagraphFont"/>
    <w:rsid w:val="00E27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A8F"/>
    <w:rPr>
      <w:b/>
    </w:rPr>
  </w:style>
  <w:style w:type="character" w:customStyle="1" w:styleId="Underlined">
    <w:name w:val="Underlined"/>
    <w:basedOn w:val="DefaultParagraphFont"/>
    <w:rsid w:val="00E27A8F"/>
    <w:rPr>
      <w:u w:val="single"/>
    </w:rPr>
  </w:style>
  <w:style w:type="paragraph" w:customStyle="1" w:styleId="TableBodyTextRight">
    <w:name w:val="Table Body Text Right"/>
    <w:basedOn w:val="TableBodyText"/>
    <w:rsid w:val="00E27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A8F"/>
    <w:rPr>
      <w:sz w:val="18"/>
    </w:rPr>
  </w:style>
  <w:style w:type="paragraph" w:customStyle="1" w:styleId="BodySmallRight">
    <w:name w:val="Body Small Right"/>
    <w:basedOn w:val="BodyTextRight"/>
    <w:rsid w:val="00E27A8F"/>
    <w:rPr>
      <w:sz w:val="18"/>
      <w:szCs w:val="18"/>
    </w:rPr>
  </w:style>
  <w:style w:type="paragraph" w:customStyle="1" w:styleId="MarginEdition">
    <w:name w:val="Margin Edition"/>
    <w:basedOn w:val="MarginNote"/>
    <w:rsid w:val="00E27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A8F"/>
    <w:rPr>
      <w:sz w:val="2"/>
      <w:szCs w:val="2"/>
    </w:rPr>
  </w:style>
  <w:style w:type="character" w:customStyle="1" w:styleId="Small">
    <w:name w:val="Small"/>
    <w:basedOn w:val="DefaultParagraphFont"/>
    <w:rsid w:val="00E27A8F"/>
    <w:rPr>
      <w:sz w:val="16"/>
    </w:rPr>
  </w:style>
  <w:style w:type="paragraph" w:customStyle="1" w:styleId="WideTable">
    <w:name w:val="Wide Table"/>
    <w:basedOn w:val="Normal"/>
    <w:rsid w:val="00E27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A8F"/>
  </w:style>
  <w:style w:type="paragraph" w:styleId="Quote">
    <w:name w:val="Quote"/>
    <w:basedOn w:val="Heading1"/>
    <w:link w:val="QuoteChar"/>
    <w:qFormat/>
    <w:rsid w:val="00E27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A8F"/>
    <w:pPr>
      <w:pageBreakBefore/>
    </w:pPr>
  </w:style>
  <w:style w:type="paragraph" w:customStyle="1" w:styleId="Border">
    <w:name w:val="Border"/>
    <w:basedOn w:val="Normal"/>
    <w:qFormat/>
    <w:rsid w:val="00E27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A8F"/>
    <w:rPr>
      <w:u w:val="single"/>
    </w:rPr>
  </w:style>
  <w:style w:type="character" w:customStyle="1" w:styleId="BoldandItalics">
    <w:name w:val="Bold and Italics"/>
    <w:qFormat/>
    <w:rsid w:val="00E27A8F"/>
    <w:rPr>
      <w:b/>
      <w:i/>
      <w:u w:val="none"/>
    </w:rPr>
  </w:style>
  <w:style w:type="paragraph" w:styleId="BalloonText">
    <w:name w:val="Balloon Text"/>
    <w:basedOn w:val="Normal"/>
    <w:link w:val="BalloonTextChar"/>
    <w:rsid w:val="00E27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A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A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A8F"/>
    <w:pPr>
      <w:spacing w:before="0" w:after="0"/>
    </w:pPr>
  </w:style>
  <w:style w:type="paragraph" w:customStyle="1" w:styleId="BodyTextBold">
    <w:name w:val="Body Text Bold"/>
    <w:basedOn w:val="BodyText"/>
    <w:qFormat/>
    <w:rsid w:val="00E27A8F"/>
    <w:rPr>
      <w:b/>
    </w:rPr>
  </w:style>
  <w:style w:type="character" w:styleId="Hyperlink">
    <w:name w:val="Hyperlink"/>
    <w:basedOn w:val="DefaultParagraphFont"/>
    <w:uiPriority w:val="99"/>
    <w:unhideWhenUsed/>
    <w:rsid w:val="006E1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4639</Characters>
  <Application>Microsoft Office Word</Application>
  <DocSecurity>0</DocSecurity>
  <Lines>110</Lines>
  <Paragraphs>82</Paragraphs>
  <ScaleCrop>false</ScaleCrop>
  <Company>Author-it Software Corporation Ltd.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UEEEL0021 Solve problems in magnetic and electromagnetic devices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