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769" w:rsidP="007827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UEEEL0019 Solve problems in direct current (d.c.) machines</w:t>
      </w:r>
      <w:r>
        <w:fldChar w:fldCharType="end"/>
      </w:r>
    </w:p>
    <w:p w:rsidR="00782769" w:rsidP="00782769">
      <w:pPr>
        <w:pStyle w:val="Version"/>
        <w:sectPr w:rsidSect="00A924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2458" w:rsidP="00A92458">
      <w:pPr>
        <w:pStyle w:val="SuperHeading"/>
      </w:pPr>
      <w:r w:rsidRPr="00A92458">
        <w:t>Assessment Requirements for UEEEL0019 Solve problems in direct current (d.c.) machines</w:t>
      </w:r>
    </w:p>
    <w:p w:rsidR="00000000" w:rsidRPr="00A92458" w:rsidP="00A92458">
      <w:pPr>
        <w:pStyle w:val="Heading1"/>
      </w:pPr>
      <w:bookmarkStart w:id="1" w:name="O_1238063"/>
      <w:bookmarkEnd w:id="1"/>
      <w:r w:rsidRPr="00A924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4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58" w:rsidP="00A92458">
            <w:pPr>
              <w:pStyle w:val="BodyText"/>
            </w:pPr>
            <w:r w:rsidRPr="00A92458">
              <w:t>Release 2. This is the second release of this unit of competency in the UEE Electrotechnology Training Package.</w:t>
            </w:r>
          </w:p>
          <w:p w:rsidR="00000000" w:rsidP="00A92458">
            <w:pPr>
              <w:pStyle w:val="BodyText"/>
              <w:rPr>
                <w:lang w:val="en-NZ"/>
              </w:rPr>
            </w:pPr>
            <w:r w:rsidRPr="00A92458">
              <w:t>Assessor requirements updated in Assessment Conditions.</w:t>
            </w:r>
          </w:p>
        </w:tc>
      </w:tr>
      <w:tr w:rsidTr="00A924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58" w:rsidP="00A92458">
            <w:pPr>
              <w:pStyle w:val="BodyText"/>
            </w:pPr>
            <w:r w:rsidRPr="00A92458">
              <w:t>Release 1. This is the first release of this unit of competency in the UEE Electrotechnology Training Package.</w:t>
            </w:r>
          </w:p>
        </w:tc>
      </w:tr>
    </w:tbl>
    <w:p w:rsidR="00782769" w:rsidP="00A92458">
      <w:pPr>
        <w:pStyle w:val="NoPaddingFontSize1"/>
      </w:pPr>
    </w:p>
    <w:p w:rsidR="00782769" w:rsidP="00A92458">
      <w:pPr>
        <w:pStyle w:val="NoPaddingFontSize1"/>
      </w:pPr>
    </w:p>
    <w:p w:rsidR="00000000" w:rsidRPr="00A92458" w:rsidP="00A92458">
      <w:pPr>
        <w:pStyle w:val="Heading1"/>
      </w:pPr>
      <w:bookmarkStart w:id="2" w:name="O_1238062"/>
      <w:bookmarkEnd w:id="2"/>
      <w:r w:rsidRPr="00A9245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4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58">
            <w:pPr>
              <w:pStyle w:val="BodyText"/>
              <w:rPr>
                <w:lang w:val="en-NZ"/>
              </w:rPr>
            </w:pPr>
            <w:r w:rsidRPr="00A92458">
              <w:t>Evidence required to demonstrate competence i</w:t>
            </w:r>
            <w:r w:rsidRPr="00A92458">
              <w:t xml:space="preserve">n this unit must be relevant to and satisfy all of the requirements of the elements, performance criteria and range of conditions on at least two separate occasions and include: </w:t>
            </w:r>
          </w:p>
        </w:tc>
      </w:tr>
      <w:tr w:rsidTr="00A924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58" w:rsidP="00A92458">
            <w:pPr>
              <w:pStyle w:val="ListBullet"/>
            </w:pPr>
            <w:r w:rsidRPr="00A92458">
              <w:t>complying work health and safety (WHS)/occupational health and safety (OHS)</w:t>
            </w:r>
            <w:r w:rsidRPr="00A92458">
              <w:t xml:space="preserve"> requirements, including:</w:t>
            </w:r>
          </w:p>
          <w:p w:rsidR="00000000" w:rsidRPr="00A92458" w:rsidP="00A92458">
            <w:pPr>
              <w:pStyle w:val="ListBullet2"/>
            </w:pPr>
            <w:r w:rsidRPr="00A92458">
              <w:t>identifying safety risks associated with using generators, motors. rotating machinery and inductive loads</w:t>
            </w:r>
          </w:p>
          <w:p w:rsidR="00000000" w:rsidRPr="00A92458" w:rsidP="00A92458">
            <w:pPr>
              <w:pStyle w:val="ListBullet2"/>
            </w:pPr>
            <w:r w:rsidRPr="00A92458">
              <w:t>confirming isolation of circuits</w:t>
            </w:r>
          </w:p>
          <w:p w:rsidR="00000000" w:rsidRPr="00A92458" w:rsidP="00A92458">
            <w:pPr>
              <w:pStyle w:val="ListBullet"/>
            </w:pPr>
            <w:r w:rsidRPr="00A92458">
              <w:t>connecting and testing a direct current (d.c.) machine</w:t>
            </w:r>
          </w:p>
          <w:p w:rsidR="00000000" w:rsidRPr="00A92458" w:rsidP="00A92458">
            <w:pPr>
              <w:pStyle w:val="ListBullet"/>
            </w:pPr>
            <w:r w:rsidRPr="00A92458">
              <w:t>identifying of faults in a machine from electrical measurements</w:t>
            </w:r>
          </w:p>
          <w:p w:rsidR="00000000" w:rsidRPr="00A92458" w:rsidP="00A92458">
            <w:pPr>
              <w:pStyle w:val="ListBullet"/>
            </w:pPr>
            <w:r w:rsidRPr="00A92458">
              <w:t>recording electrical measurements and comparing with nameplate ratings</w:t>
            </w:r>
          </w:p>
          <w:p w:rsidR="00000000" w:rsidRPr="00A92458" w:rsidP="00A92458">
            <w:pPr>
              <w:pStyle w:val="ListBullet"/>
            </w:pPr>
            <w:r w:rsidRPr="00A92458">
              <w:t>reversing the direction of rotation of a d.c motor</w:t>
            </w:r>
          </w:p>
          <w:p w:rsidR="00000000" w:rsidRPr="00A92458" w:rsidP="00A92458">
            <w:pPr>
              <w:pStyle w:val="ListBullet"/>
            </w:pPr>
            <w:r w:rsidRPr="00A92458">
              <w:t>ensuring all work complies with relevant industry standards and legisl</w:t>
            </w:r>
            <w:r w:rsidRPr="00A92458">
              <w:t>ation</w:t>
            </w:r>
          </w:p>
          <w:p w:rsidR="00000000" w:rsidRPr="00A92458" w:rsidP="00A92458">
            <w:pPr>
              <w:pStyle w:val="ListBullet"/>
            </w:pPr>
            <w:r w:rsidRPr="00A92458">
              <w:t>completing required documentation and reporting.</w:t>
            </w:r>
          </w:p>
        </w:tc>
      </w:tr>
    </w:tbl>
    <w:p w:rsidR="00000000" w:rsidRPr="00A92458" w:rsidP="00A92458">
      <w:pPr>
        <w:pStyle w:val="NoPaddingFontSize1"/>
      </w:pPr>
    </w:p>
    <w:p w:rsidR="00000000" w:rsidRPr="00A92458" w:rsidP="00A92458">
      <w:pPr>
        <w:pStyle w:val="AllowPageBreak"/>
      </w:pPr>
    </w:p>
    <w:p w:rsidR="00000000" w:rsidRPr="00A92458" w:rsidP="00A92458">
      <w:pPr>
        <w:pStyle w:val="Heading1"/>
      </w:pPr>
      <w:bookmarkStart w:id="3" w:name="O_1238061"/>
      <w:bookmarkEnd w:id="3"/>
      <w:r w:rsidRPr="00A9245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4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58">
            <w:pPr>
              <w:pStyle w:val="BodyText"/>
              <w:rPr>
                <w:lang w:val="en-NZ"/>
              </w:rPr>
            </w:pPr>
            <w:r w:rsidRPr="00A92458">
              <w:t xml:space="preserve">Evidence required to demonstrate competence in this unit must be relevant to and satisfy all of the requirements of the elements, performance criteria </w:t>
            </w:r>
            <w:r w:rsidRPr="00A92458">
              <w:t xml:space="preserve">and range of conditions and include knowledge of: </w:t>
            </w:r>
          </w:p>
        </w:tc>
      </w:tr>
      <w:tr w:rsidTr="00A924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6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58" w:rsidP="00A92458">
            <w:pPr>
              <w:pStyle w:val="ListBullet"/>
            </w:pPr>
            <w:r w:rsidRPr="00A92458">
              <w:t>rotating machine construction, testing and maintenance, including:</w:t>
            </w:r>
          </w:p>
          <w:p w:rsidR="00000000" w:rsidRPr="00A92458" w:rsidP="00A92458">
            <w:pPr>
              <w:pStyle w:val="ListBullet2"/>
            </w:pPr>
            <w:r w:rsidRPr="00A92458">
              <w:t>care, maintenance and testing processes for rotating machines</w:t>
            </w:r>
          </w:p>
          <w:p w:rsidR="00000000" w:rsidRPr="00A92458" w:rsidP="00A92458">
            <w:pPr>
              <w:pStyle w:val="ListBullet2"/>
            </w:pPr>
            <w:r w:rsidRPr="00A92458">
              <w:t>components of a d.c. machine</w:t>
            </w:r>
          </w:p>
          <w:p w:rsidR="00000000" w:rsidRPr="00A92458" w:rsidP="00A92458">
            <w:pPr>
              <w:pStyle w:val="ListBullet2"/>
            </w:pPr>
            <w:r w:rsidRPr="00A92458">
              <w:t>difference between a generator and a motor in terms of energy conversion</w:t>
            </w:r>
          </w:p>
          <w:p w:rsidR="00000000" w:rsidRPr="00A92458" w:rsidP="00A92458">
            <w:pPr>
              <w:pStyle w:val="ListBullet2"/>
            </w:pPr>
            <w:r w:rsidRPr="00A92458">
              <w:t>nameplate of a machine</w:t>
            </w:r>
          </w:p>
          <w:p w:rsidR="00000000" w:rsidRPr="00A92458" w:rsidP="00A92458">
            <w:pPr>
              <w:pStyle w:val="ListBullet2"/>
            </w:pPr>
            <w:r w:rsidRPr="00A92458">
              <w:t>safety risks associated with using rotating machinery</w:t>
            </w:r>
          </w:p>
          <w:p w:rsidR="00000000" w:rsidRPr="00A92458" w:rsidP="00A92458">
            <w:pPr>
              <w:pStyle w:val="ListBullet2"/>
            </w:pPr>
            <w:r w:rsidRPr="00A92458">
              <w:t>types of faults in electric machines</w:t>
            </w:r>
          </w:p>
          <w:p w:rsidR="00000000" w:rsidRPr="00A92458" w:rsidP="00A92458">
            <w:pPr>
              <w:pStyle w:val="ListBullet"/>
            </w:pPr>
            <w:r w:rsidRPr="00A92458">
              <w:t xml:space="preserve">generators, including: </w:t>
            </w:r>
          </w:p>
          <w:p w:rsidR="00000000" w:rsidRPr="00A92458" w:rsidP="00A92458">
            <w:pPr>
              <w:pStyle w:val="ListBullet2"/>
            </w:pPr>
            <w:r w:rsidRPr="00A92458">
              <w:t>basic operation of a d.c. generator</w:t>
            </w:r>
          </w:p>
          <w:p w:rsidR="00000000" w:rsidRPr="00A92458" w:rsidP="00A92458">
            <w:pPr>
              <w:pStyle w:val="ListBullet2"/>
            </w:pPr>
            <w:r w:rsidRPr="00A92458">
              <w:t>equival</w:t>
            </w:r>
            <w:r w:rsidRPr="00A92458">
              <w:t>ent circuit for a d.c. generator</w:t>
            </w:r>
          </w:p>
          <w:p w:rsidR="00000000" w:rsidRPr="00A92458" w:rsidP="00A92458">
            <w:pPr>
              <w:pStyle w:val="ListBullet2"/>
            </w:pPr>
            <w:r w:rsidRPr="00A92458">
              <w:t>importance of residual magnetism for a self-excited generator</w:t>
            </w:r>
          </w:p>
          <w:p w:rsidR="00000000" w:rsidRPr="00A92458" w:rsidP="00A92458">
            <w:pPr>
              <w:pStyle w:val="ListBullet2"/>
            </w:pPr>
            <w:r w:rsidRPr="00A92458">
              <w:t>load characteristics of a d.c. generator</w:t>
            </w:r>
          </w:p>
          <w:p w:rsidR="00000000" w:rsidRPr="00A92458" w:rsidP="00A92458">
            <w:pPr>
              <w:pStyle w:val="ListBullet2"/>
            </w:pPr>
            <w:r w:rsidRPr="00A92458">
              <w:t>methods of excitation used for d.c. generators</w:t>
            </w:r>
          </w:p>
          <w:p w:rsidR="00000000" w:rsidRPr="00A92458" w:rsidP="00A92458">
            <w:pPr>
              <w:pStyle w:val="ListBullet2"/>
            </w:pPr>
            <w:r w:rsidRPr="00A92458">
              <w:t>open circuit characteristics of d.c. generators</w:t>
            </w:r>
          </w:p>
          <w:p w:rsidR="00000000" w:rsidRPr="00A92458" w:rsidP="00A92458">
            <w:pPr>
              <w:pStyle w:val="ListBullet2"/>
            </w:pPr>
            <w:r w:rsidRPr="00A92458">
              <w:t>prime movers, energy sour</w:t>
            </w:r>
            <w:r w:rsidRPr="00A92458">
              <w:t>ces and energy flow used to generate electricity</w:t>
            </w:r>
          </w:p>
          <w:p w:rsidR="00000000" w:rsidRPr="00A92458" w:rsidP="00A92458">
            <w:pPr>
              <w:pStyle w:val="ListBullet2"/>
            </w:pPr>
            <w:r w:rsidRPr="00A92458">
              <w:t>reversing the polarity of a d.c. generator</w:t>
            </w:r>
          </w:p>
          <w:p w:rsidR="00000000" w:rsidRPr="00A92458" w:rsidP="00A92458">
            <w:pPr>
              <w:pStyle w:val="ListBullet2"/>
            </w:pPr>
            <w:r w:rsidRPr="00A92458">
              <w:t>types of d.c. generators and their applications</w:t>
            </w:r>
          </w:p>
          <w:p w:rsidR="00000000" w:rsidRPr="00A92458" w:rsidP="00A92458">
            <w:pPr>
              <w:pStyle w:val="ListBullet2"/>
            </w:pPr>
            <w:r w:rsidRPr="00A92458">
              <w:t>calculating generated and terminal voltage of a d.c. shunt generator</w:t>
            </w:r>
          </w:p>
          <w:p w:rsidR="00000000" w:rsidRPr="00A92458" w:rsidP="00A92458">
            <w:pPr>
              <w:pStyle w:val="ListBullet2"/>
            </w:pPr>
            <w:r w:rsidRPr="00A92458">
              <w:t>applying Fleming’s left-hand rul</w:t>
            </w:r>
            <w:r w:rsidRPr="00A92458">
              <w:t>e for motors and right-hand rule for generators</w:t>
            </w:r>
          </w:p>
          <w:p w:rsidR="00000000" w:rsidRPr="00A92458" w:rsidP="00A92458">
            <w:pPr>
              <w:pStyle w:val="ListBullet"/>
            </w:pPr>
            <w:r w:rsidRPr="00A92458">
              <w:t>motors, including:</w:t>
            </w:r>
          </w:p>
          <w:p w:rsidR="00000000" w:rsidRPr="00A92458" w:rsidP="00A92458">
            <w:pPr>
              <w:pStyle w:val="ListBullet2"/>
            </w:pPr>
            <w:r w:rsidRPr="00A92458">
              <w:t>basic operation of a motor</w:t>
            </w:r>
          </w:p>
          <w:p w:rsidR="00000000" w:rsidRPr="00A92458" w:rsidP="00A92458">
            <w:pPr>
              <w:pStyle w:val="ListBullet2"/>
            </w:pPr>
            <w:r w:rsidRPr="00A92458">
              <w:t>circuit diagrams and characteristics of the different types of d.c. motors</w:t>
            </w:r>
          </w:p>
          <w:p w:rsidR="00000000" w:rsidRPr="00A92458" w:rsidP="00A92458">
            <w:pPr>
              <w:pStyle w:val="ListBullet2"/>
            </w:pPr>
            <w:r w:rsidRPr="00A92458">
              <w:t>effect of back emf in d.c. motors</w:t>
            </w:r>
          </w:p>
          <w:p w:rsidR="00000000" w:rsidRPr="00A92458" w:rsidP="00A92458">
            <w:pPr>
              <w:pStyle w:val="ListBullet2"/>
            </w:pPr>
            <w:r w:rsidRPr="00A92458">
              <w:t>equivalent circuit for the types of d.c. motors</w:t>
            </w:r>
          </w:p>
          <w:p w:rsidR="00000000" w:rsidRPr="00A92458" w:rsidP="00A92458">
            <w:pPr>
              <w:pStyle w:val="ListBullet2"/>
            </w:pPr>
            <w:r w:rsidRPr="00A92458">
              <w:t>ope</w:t>
            </w:r>
            <w:r w:rsidRPr="00A92458">
              <w:t>ration of a motor and its energy flow</w:t>
            </w:r>
          </w:p>
          <w:p w:rsidR="00000000" w:rsidRPr="00A92458" w:rsidP="00A92458">
            <w:pPr>
              <w:pStyle w:val="ListBullet2"/>
            </w:pPr>
            <w:r w:rsidRPr="00A92458">
              <w:t>safety risks associated with using motors (including risks of series d.c. motors)</w:t>
            </w:r>
          </w:p>
          <w:p w:rsidR="00000000" w:rsidRPr="00A92458" w:rsidP="00A92458">
            <w:pPr>
              <w:pStyle w:val="ListBullet2"/>
            </w:pPr>
            <w:r w:rsidRPr="00A92458">
              <w:t>torque as the product of the force on the conductors and the radius of the armature/rotor</w:t>
            </w:r>
          </w:p>
          <w:p w:rsidR="00000000" w:rsidRPr="00A92458" w:rsidP="00A92458">
            <w:pPr>
              <w:pStyle w:val="ListBullet2"/>
            </w:pPr>
            <w:r w:rsidRPr="00A92458">
              <w:t>calculating force and torque developed by a mo</w:t>
            </w:r>
            <w:r w:rsidRPr="00A92458">
              <w:t>tor</w:t>
            </w:r>
          </w:p>
          <w:p w:rsidR="00000000" w:rsidRPr="00A92458" w:rsidP="00A92458">
            <w:pPr>
              <w:pStyle w:val="ListBullet2"/>
            </w:pPr>
            <w:r w:rsidRPr="00A92458">
              <w:t>types of d.c. motors and their applications</w:t>
            </w:r>
          </w:p>
          <w:p w:rsidR="00000000" w:rsidRPr="00A92458" w:rsidP="00A92458">
            <w:pPr>
              <w:pStyle w:val="ListBullet"/>
            </w:pPr>
            <w:r w:rsidRPr="00A92458">
              <w:t xml:space="preserve">machine efficiency, including: </w:t>
            </w:r>
          </w:p>
          <w:p w:rsidR="00000000" w:rsidRPr="00A92458" w:rsidP="00A92458">
            <w:pPr>
              <w:pStyle w:val="ListBullet2"/>
            </w:pPr>
            <w:r w:rsidRPr="00A92458">
              <w:t>efficiency characteristic of a d.c. machine and the conditions for maximum efficiency</w:t>
            </w:r>
          </w:p>
          <w:p w:rsidR="00000000" w:rsidRPr="00A92458" w:rsidP="00A92458">
            <w:pPr>
              <w:pStyle w:val="ListBullet2"/>
            </w:pPr>
            <w:r w:rsidRPr="00A92458">
              <w:t>losses that occur in a d.c. machine</w:t>
            </w:r>
          </w:p>
          <w:p w:rsidR="00000000" w:rsidRPr="00A92458" w:rsidP="00A92458">
            <w:pPr>
              <w:pStyle w:val="ListBullet2"/>
            </w:pPr>
            <w:r w:rsidRPr="00A92458">
              <w:t>methods used to determine the losses in a d.c. machine</w:t>
            </w:r>
          </w:p>
          <w:p w:rsidR="00000000" w:rsidRPr="00A92458" w:rsidP="00A92458">
            <w:pPr>
              <w:pStyle w:val="ListBullet2"/>
            </w:pPr>
            <w:r w:rsidRPr="00A92458">
              <w:t>calculating losses and efficiency of a d.c machine</w:t>
            </w:r>
          </w:p>
          <w:p w:rsidR="00000000" w:rsidRPr="00A92458" w:rsidP="00A92458">
            <w:pPr>
              <w:pStyle w:val="ListBullet2"/>
            </w:pPr>
            <w:r w:rsidRPr="00A92458">
              <w:t>methods used to maintain high efficiency</w:t>
            </w:r>
          </w:p>
          <w:p w:rsidR="00000000" w:rsidRPr="00A92458" w:rsidP="00A92458">
            <w:pPr>
              <w:pStyle w:val="ListBullet"/>
            </w:pPr>
            <w:r w:rsidRPr="00A92458">
              <w:t>safety considerations for inductive loads</w:t>
            </w:r>
          </w:p>
          <w:p w:rsidR="00000000" w:rsidRPr="00A92458" w:rsidP="00A92458">
            <w:pPr>
              <w:pStyle w:val="ListBullet"/>
            </w:pPr>
            <w:r w:rsidRPr="00A92458">
              <w:t>relevant manufacturer specifications</w:t>
            </w:r>
          </w:p>
        </w:tc>
      </w:tr>
    </w:tbl>
    <w:p w:rsidR="00000000" w:rsidRPr="00A92458" w:rsidP="00A92458">
      <w:pPr>
        <w:pStyle w:val="NoPaddingFontSize1"/>
      </w:pPr>
    </w:p>
    <w:p w:rsidR="00000000" w:rsidRPr="00A92458" w:rsidP="00A92458">
      <w:pPr>
        <w:pStyle w:val="AllowPageBreak"/>
      </w:pPr>
    </w:p>
    <w:p w:rsidR="00000000" w:rsidRPr="00A92458" w:rsidP="00A92458">
      <w:pPr>
        <w:pStyle w:val="Heading1"/>
      </w:pPr>
      <w:bookmarkStart w:id="4" w:name="O_1238060"/>
      <w:bookmarkEnd w:id="4"/>
      <w:r w:rsidRPr="00A9245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4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58" w:rsidP="00A92458">
            <w:pPr>
              <w:pStyle w:val="BodyText"/>
            </w:pPr>
            <w:r w:rsidRPr="00A92458">
              <w:t>Assessors must hold credentials specified within the Standards for Registered Training Organisations current at the time of assessment.</w:t>
            </w:r>
          </w:p>
          <w:p w:rsidR="00000000" w:rsidRPr="00A92458" w:rsidP="00A92458">
            <w:pPr>
              <w:pStyle w:val="BodyText"/>
            </w:pPr>
            <w:r w:rsidRPr="00A92458">
              <w:t>Assessors must also hold the occupational licence for the jurisdiction the assessment is occurring</w:t>
            </w:r>
            <w:r w:rsidRPr="00A92458">
              <w:t xml:space="preserve"> where the activity being assessed requires a licence to practice.</w:t>
            </w:r>
          </w:p>
          <w:p w:rsidR="00000000" w:rsidRPr="00A92458" w:rsidP="00A92458">
            <w:pPr>
              <w:pStyle w:val="BodyText"/>
            </w:pPr>
            <w:r w:rsidRPr="00A92458">
              <w:t>Assessment must satisfy the Principles of Assessment and Rules of Evidence and all regulatory requirements included within the Standards for Registered Training Organisations current at the</w:t>
            </w:r>
            <w:r w:rsidRPr="00A92458">
              <w:t xml:space="preserve"> time of assessment.</w:t>
            </w:r>
          </w:p>
          <w:p w:rsidR="00000000" w:rsidRPr="00A92458" w:rsidP="00A92458">
            <w:pPr>
              <w:pStyle w:val="BodyText"/>
            </w:pPr>
            <w:r w:rsidRPr="00A92458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A92458" w:rsidP="00A92458">
            <w:pPr>
              <w:pStyle w:val="BodyText"/>
            </w:pPr>
            <w:r w:rsidRPr="00A92458">
              <w:t>Assessm</w:t>
            </w:r>
            <w:r w:rsidRPr="00A92458">
              <w:t>ent processes and techniques must be appropriate to the language, literacy and numeracy requirements of the work being performed and the needs of the candidate.</w:t>
            </w:r>
          </w:p>
          <w:p w:rsidR="00000000" w:rsidRPr="00A92458" w:rsidP="00A92458">
            <w:pPr>
              <w:pStyle w:val="BodyText"/>
            </w:pPr>
            <w:r w:rsidRPr="00A92458">
              <w:t>Resources for assessment must include access to:</w:t>
            </w:r>
          </w:p>
          <w:p w:rsidR="00000000" w:rsidRPr="00A92458" w:rsidP="00A92458">
            <w:pPr>
              <w:pStyle w:val="ListBullet"/>
            </w:pPr>
            <w:r w:rsidRPr="00A92458">
              <w:t>a range of relevant exercises, case studies a</w:t>
            </w:r>
            <w:r w:rsidRPr="00A92458">
              <w:t>nd/or other simulations</w:t>
            </w:r>
          </w:p>
          <w:p w:rsidR="00000000" w:rsidRPr="00A92458" w:rsidP="00A92458">
            <w:pPr>
              <w:pStyle w:val="ListBullet"/>
            </w:pPr>
            <w:r w:rsidRPr="00A92458">
              <w:t xml:space="preserve">relevant and appropriate materials, tools, facilities, equipment and personal protective equipment (PPE) currently used in industry </w:t>
            </w:r>
          </w:p>
          <w:p w:rsidR="00000000" w:rsidRPr="00A92458" w:rsidP="00A92458">
            <w:pPr>
              <w:pStyle w:val="ListBullet"/>
            </w:pPr>
            <w:r w:rsidRPr="00A92458">
              <w:t>applicable documentation, including workplace procedures, equipment specifications, regulations, re</w:t>
            </w:r>
            <w:r w:rsidRPr="00A92458">
              <w:t>levant industry standards, codes of practice and operation manuals.</w:t>
            </w:r>
          </w:p>
        </w:tc>
      </w:tr>
    </w:tbl>
    <w:p w:rsidR="00000000" w:rsidRPr="00A92458" w:rsidP="00A92458">
      <w:pPr>
        <w:pStyle w:val="NoPaddingFontSize1"/>
      </w:pPr>
    </w:p>
    <w:p w:rsidR="00000000" w:rsidRPr="00A92458" w:rsidP="00A92458">
      <w:pPr>
        <w:pStyle w:val="AllowPageBreak"/>
      </w:pPr>
    </w:p>
    <w:p w:rsidR="00000000" w:rsidRPr="00A92458" w:rsidP="00A92458">
      <w:pPr>
        <w:pStyle w:val="Heading1"/>
      </w:pPr>
      <w:bookmarkStart w:id="5" w:name="O_1238075"/>
      <w:bookmarkEnd w:id="5"/>
      <w:r w:rsidRPr="00A92458">
        <w:t>Links</w:t>
      </w:r>
    </w:p>
    <w:p w:rsidR="00000000" w:rsidRPr="00A92458" w:rsidP="00782769">
      <w:pPr>
        <w:pStyle w:val="BodyText"/>
      </w:pPr>
      <w:r w:rsidRPr="00A924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96D9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92458" w:rsidP="00A92458"/>
    <w:sectPr w:rsidSect="00A924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58" w:rsidRPr="00782769" w:rsidP="007827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69" w:rsidP="00A92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2769" w:rsidP="00A92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82769" w:rsidP="00A924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2458" w:rsidRPr="00782769" w:rsidP="007827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69" w:rsidRPr="002D2AF8" w:rsidP="00A92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UEEEL0019 Solve problems in direct current (d.c.)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82769" w:rsidP="00A924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F2CE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5265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8C81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4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24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4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4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4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4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4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4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4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4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4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458"/>
  </w:style>
  <w:style w:type="character" w:customStyle="1" w:styleId="Heading1Char">
    <w:name w:val="Heading 1 Char"/>
    <w:basedOn w:val="DefaultParagraphFont"/>
    <w:link w:val="Heading1"/>
    <w:rsid w:val="00A924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24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4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24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24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24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24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24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4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4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2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24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24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4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4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4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4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24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4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24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4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4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24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24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2458"/>
    <w:rPr>
      <w:b/>
      <w:spacing w:val="0"/>
    </w:rPr>
  </w:style>
  <w:style w:type="paragraph" w:customStyle="1" w:styleId="SuperTitle">
    <w:name w:val="SuperTitle"/>
    <w:basedOn w:val="Title"/>
    <w:rsid w:val="00A924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4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4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24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4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24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4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24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4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4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4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4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2458"/>
    <w:rPr>
      <w:i/>
    </w:rPr>
  </w:style>
  <w:style w:type="paragraph" w:styleId="Caption">
    <w:name w:val="caption"/>
    <w:basedOn w:val="BodyText"/>
    <w:next w:val="Normal"/>
    <w:qFormat/>
    <w:rsid w:val="00A924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4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4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458"/>
  </w:style>
  <w:style w:type="paragraph" w:styleId="TableofFigures">
    <w:name w:val="table of figures"/>
    <w:basedOn w:val="Normal"/>
    <w:next w:val="Normal"/>
    <w:semiHidden/>
    <w:rsid w:val="00A924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4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2458"/>
    <w:rPr>
      <w:rFonts w:ascii="Wingdings" w:hAnsi="Wingdings"/>
    </w:rPr>
  </w:style>
  <w:style w:type="paragraph" w:customStyle="1" w:styleId="TableHeading">
    <w:name w:val="Table Heading"/>
    <w:basedOn w:val="HeadingBase"/>
    <w:rsid w:val="00A924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2458"/>
    <w:rPr>
      <w:color w:val="0033CC"/>
      <w:u w:val="none"/>
    </w:rPr>
  </w:style>
  <w:style w:type="paragraph" w:customStyle="1" w:styleId="BodyTextRight">
    <w:name w:val="Body Text Right"/>
    <w:basedOn w:val="BodyText"/>
    <w:rsid w:val="00A924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4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4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4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4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4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2458"/>
    <w:rPr>
      <w:sz w:val="32"/>
    </w:rPr>
  </w:style>
  <w:style w:type="paragraph" w:customStyle="1" w:styleId="HeadingProcedure">
    <w:name w:val="Heading Procedure"/>
    <w:basedOn w:val="HeadingBase"/>
    <w:next w:val="Normal"/>
    <w:rsid w:val="00A924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2458"/>
    <w:pPr>
      <w:spacing w:before="60" w:after="60"/>
    </w:pPr>
  </w:style>
  <w:style w:type="paragraph" w:styleId="ListContinue">
    <w:name w:val="List Continue"/>
    <w:basedOn w:val="List"/>
    <w:rsid w:val="00A92458"/>
    <w:pPr>
      <w:ind w:firstLine="0"/>
    </w:pPr>
  </w:style>
  <w:style w:type="paragraph" w:customStyle="1" w:styleId="ListNote">
    <w:name w:val="List Note"/>
    <w:basedOn w:val="List"/>
    <w:rsid w:val="00A924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4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4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458"/>
    <w:rPr>
      <w:rFonts w:ascii="Courier New" w:hAnsi="Courier New"/>
    </w:rPr>
  </w:style>
  <w:style w:type="paragraph" w:customStyle="1" w:styleId="NoteBullet">
    <w:name w:val="Note Bullet"/>
    <w:basedOn w:val="Note"/>
    <w:rsid w:val="00A924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4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4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4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4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24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4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2458"/>
    <w:rPr>
      <w:b/>
      <w:smallCaps/>
    </w:rPr>
  </w:style>
  <w:style w:type="paragraph" w:customStyle="1" w:styleId="TableListNumber">
    <w:name w:val="Table List Number"/>
    <w:basedOn w:val="ListNumber"/>
    <w:rsid w:val="00A924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4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458"/>
    <w:pPr>
      <w:numPr>
        <w:numId w:val="9"/>
      </w:numPr>
    </w:pPr>
  </w:style>
  <w:style w:type="paragraph" w:customStyle="1" w:styleId="ListAlpha2">
    <w:name w:val="List Alpha 2"/>
    <w:basedOn w:val="List2"/>
    <w:rsid w:val="00A92458"/>
    <w:pPr>
      <w:numPr>
        <w:numId w:val="8"/>
      </w:numPr>
    </w:pPr>
  </w:style>
  <w:style w:type="paragraph" w:styleId="List2">
    <w:name w:val="List 2"/>
    <w:basedOn w:val="BodyText"/>
    <w:rsid w:val="00A924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24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4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4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24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24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2458"/>
    <w:pPr>
      <w:numPr>
        <w:numId w:val="4"/>
      </w:numPr>
    </w:pPr>
  </w:style>
  <w:style w:type="paragraph" w:styleId="ListContinue2">
    <w:name w:val="List Continue 2"/>
    <w:basedOn w:val="List2"/>
    <w:rsid w:val="00A92458"/>
    <w:pPr>
      <w:ind w:firstLine="0"/>
    </w:pPr>
  </w:style>
  <w:style w:type="paragraph" w:styleId="ListContinue3">
    <w:name w:val="List Continue 3"/>
    <w:basedOn w:val="List3"/>
    <w:rsid w:val="00A92458"/>
    <w:pPr>
      <w:ind w:left="1021" w:firstLine="0"/>
    </w:pPr>
  </w:style>
  <w:style w:type="paragraph" w:styleId="ListContinue4">
    <w:name w:val="List Continue 4"/>
    <w:basedOn w:val="List4"/>
    <w:rsid w:val="00A92458"/>
    <w:pPr>
      <w:ind w:firstLine="0"/>
    </w:pPr>
  </w:style>
  <w:style w:type="paragraph" w:styleId="ListContinue5">
    <w:name w:val="List Continue 5"/>
    <w:basedOn w:val="List5"/>
    <w:rsid w:val="00A92458"/>
    <w:pPr>
      <w:ind w:firstLine="0"/>
    </w:pPr>
  </w:style>
  <w:style w:type="paragraph" w:styleId="ListNumber3">
    <w:name w:val="List Number 3"/>
    <w:basedOn w:val="List3"/>
    <w:rsid w:val="00A92458"/>
    <w:pPr>
      <w:numPr>
        <w:numId w:val="5"/>
      </w:numPr>
    </w:pPr>
  </w:style>
  <w:style w:type="paragraph" w:styleId="ListNumber4">
    <w:name w:val="List Number 4"/>
    <w:basedOn w:val="List4"/>
    <w:rsid w:val="00A92458"/>
    <w:pPr>
      <w:numPr>
        <w:numId w:val="6"/>
      </w:numPr>
    </w:pPr>
  </w:style>
  <w:style w:type="paragraph" w:styleId="ListNumber5">
    <w:name w:val="List Number 5"/>
    <w:basedOn w:val="List5"/>
    <w:rsid w:val="00A92458"/>
    <w:pPr>
      <w:numPr>
        <w:numId w:val="7"/>
      </w:numPr>
    </w:pPr>
  </w:style>
  <w:style w:type="paragraph" w:styleId="BlockText">
    <w:name w:val="Block Text"/>
    <w:basedOn w:val="Normal"/>
    <w:rsid w:val="00A924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4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458"/>
    <w:rPr>
      <w:sz w:val="16"/>
      <w:vertAlign w:val="superscript"/>
    </w:rPr>
  </w:style>
  <w:style w:type="character" w:customStyle="1" w:styleId="Symbols">
    <w:name w:val="Symbols"/>
    <w:basedOn w:val="DefaultParagraphFont"/>
    <w:rsid w:val="00A92458"/>
    <w:rPr>
      <w:rFonts w:ascii="Symbol" w:hAnsi="Symbol"/>
    </w:rPr>
  </w:style>
  <w:style w:type="character" w:customStyle="1" w:styleId="MenuOptions">
    <w:name w:val="Menu Options"/>
    <w:basedOn w:val="DefaultParagraphFont"/>
    <w:rsid w:val="00A924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458"/>
    <w:rPr>
      <w:b/>
    </w:rPr>
  </w:style>
  <w:style w:type="character" w:customStyle="1" w:styleId="Underlined">
    <w:name w:val="Underlined"/>
    <w:basedOn w:val="DefaultParagraphFont"/>
    <w:rsid w:val="00A92458"/>
    <w:rPr>
      <w:u w:val="single"/>
    </w:rPr>
  </w:style>
  <w:style w:type="paragraph" w:customStyle="1" w:styleId="TableBodyTextRight">
    <w:name w:val="Table Body Text Right"/>
    <w:basedOn w:val="TableBodyText"/>
    <w:rsid w:val="00A924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458"/>
    <w:rPr>
      <w:sz w:val="18"/>
    </w:rPr>
  </w:style>
  <w:style w:type="paragraph" w:customStyle="1" w:styleId="BodySmallRight">
    <w:name w:val="Body Small Right"/>
    <w:basedOn w:val="BodyTextRight"/>
    <w:rsid w:val="00A92458"/>
    <w:rPr>
      <w:sz w:val="18"/>
      <w:szCs w:val="18"/>
    </w:rPr>
  </w:style>
  <w:style w:type="paragraph" w:customStyle="1" w:styleId="MarginEdition">
    <w:name w:val="Margin Edition"/>
    <w:basedOn w:val="MarginNote"/>
    <w:rsid w:val="00A924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458"/>
    <w:rPr>
      <w:sz w:val="2"/>
      <w:szCs w:val="2"/>
    </w:rPr>
  </w:style>
  <w:style w:type="character" w:customStyle="1" w:styleId="Small">
    <w:name w:val="Small"/>
    <w:basedOn w:val="DefaultParagraphFont"/>
    <w:rsid w:val="00A92458"/>
    <w:rPr>
      <w:sz w:val="16"/>
    </w:rPr>
  </w:style>
  <w:style w:type="paragraph" w:customStyle="1" w:styleId="WideTable">
    <w:name w:val="Wide Table"/>
    <w:basedOn w:val="Normal"/>
    <w:rsid w:val="00A924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458"/>
  </w:style>
  <w:style w:type="paragraph" w:styleId="Quote">
    <w:name w:val="Quote"/>
    <w:basedOn w:val="Heading1"/>
    <w:link w:val="QuoteChar"/>
    <w:qFormat/>
    <w:rsid w:val="00A924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4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458"/>
    <w:pPr>
      <w:pageBreakBefore/>
    </w:pPr>
  </w:style>
  <w:style w:type="paragraph" w:customStyle="1" w:styleId="Border">
    <w:name w:val="Border"/>
    <w:basedOn w:val="Normal"/>
    <w:qFormat/>
    <w:rsid w:val="00A924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4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4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24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4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4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4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4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458"/>
    <w:rPr>
      <w:u w:val="single"/>
    </w:rPr>
  </w:style>
  <w:style w:type="character" w:customStyle="1" w:styleId="BoldandItalics">
    <w:name w:val="Bold and Italics"/>
    <w:qFormat/>
    <w:rsid w:val="00A92458"/>
    <w:rPr>
      <w:b/>
      <w:i/>
      <w:u w:val="none"/>
    </w:rPr>
  </w:style>
  <w:style w:type="paragraph" w:styleId="BalloonText">
    <w:name w:val="Balloon Text"/>
    <w:basedOn w:val="Normal"/>
    <w:link w:val="BalloonTextChar"/>
    <w:rsid w:val="00A92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4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24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4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24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24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2458"/>
    <w:pPr>
      <w:spacing w:before="0" w:after="0"/>
    </w:pPr>
  </w:style>
  <w:style w:type="paragraph" w:customStyle="1" w:styleId="BodyTextBold">
    <w:name w:val="Body Text Bold"/>
    <w:basedOn w:val="BodyText"/>
    <w:qFormat/>
    <w:rsid w:val="00A92458"/>
    <w:rPr>
      <w:b/>
    </w:rPr>
  </w:style>
  <w:style w:type="character" w:styleId="Hyperlink">
    <w:name w:val="Hyperlink"/>
    <w:basedOn w:val="DefaultParagraphFont"/>
    <w:uiPriority w:val="99"/>
    <w:unhideWhenUsed/>
    <w:rsid w:val="007827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4389</Characters>
  <Application>Microsoft Office Word</Application>
  <DocSecurity>0</DocSecurity>
  <Lines>104</Lines>
  <Paragraphs>82</Paragraphs>
  <ScaleCrop>false</ScaleCrop>
  <Company>Author-it Software Corporation Ltd.</Company>
  <LinksUpToDate>false</LinksUpToDate>
  <CharactersWithSpaces>5007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UEEEL0019 Solve problems in direct current (d.c.) machines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2024-11-29T00:38:00Z</dcterms:created>
  <dcterms:modified xsi:type="dcterms:W3CDTF">2024-11-29T00:38:00Z</dcterms:modified>
</cp:coreProperties>
</file>