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7FC" w:rsidP="005507FC">
      <w:pPr>
        <w:pStyle w:val="Title"/>
      </w:pPr>
      <w:r>
        <w:fldChar w:fldCharType="begin"/>
      </w:r>
      <w:r>
        <w:instrText xml:space="preserve"> TITLE   \* MERGEFORMAT </w:instrText>
      </w:r>
      <w:r>
        <w:fldChar w:fldCharType="separate"/>
      </w:r>
      <w:r>
        <w:t>Assessment Requirements for UEEEL0010 Evaluate and modify low voltage socket outlets circuits</w:t>
      </w:r>
      <w:r>
        <w:fldChar w:fldCharType="end"/>
      </w:r>
    </w:p>
    <w:p w:rsidR="005507FC" w:rsidP="005507FC">
      <w:pPr>
        <w:pStyle w:val="Version"/>
        <w:sectPr w:rsidSect="001A04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04A7" w:rsidP="001A04A7">
      <w:pPr>
        <w:pStyle w:val="SuperHeading"/>
      </w:pPr>
      <w:r w:rsidRPr="001A04A7">
        <w:t>Assessment Requirements for UEEEL0010 Evaluate and modify low voltage socket outlets circuits</w:t>
      </w:r>
    </w:p>
    <w:p w:rsidR="00000000" w:rsidRPr="001A04A7" w:rsidP="001A04A7">
      <w:pPr>
        <w:pStyle w:val="Heading1"/>
      </w:pPr>
      <w:bookmarkStart w:id="1" w:name="O_1237991"/>
      <w:bookmarkEnd w:id="1"/>
      <w:r w:rsidRPr="001A04A7">
        <w:t>Modification History</w:t>
      </w:r>
    </w:p>
    <w:tbl>
      <w:tblPr>
        <w:tblW w:w="9497" w:type="dxa"/>
        <w:tblLayout w:type="fixed"/>
        <w:tblCellMar>
          <w:left w:w="62" w:type="dxa"/>
          <w:right w:w="62" w:type="dxa"/>
        </w:tblCellMar>
        <w:tblLook w:val="0000"/>
      </w:tblPr>
      <w:tblGrid>
        <w:gridCol w:w="9497"/>
      </w:tblGrid>
      <w:tr w:rsidTr="001A0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04A7" w:rsidP="001A04A7">
            <w:pPr>
              <w:pStyle w:val="BodyText"/>
            </w:pPr>
            <w:r w:rsidRPr="001A04A7">
              <w:t>Release 2. This is the second release of this unit of competency in the UEE Electrotechnology Training Package.</w:t>
            </w:r>
          </w:p>
          <w:p w:rsidR="00000000" w:rsidRPr="001A04A7" w:rsidP="001A04A7">
            <w:pPr>
              <w:pStyle w:val="BodyText"/>
            </w:pPr>
            <w:r w:rsidRPr="001A04A7">
              <w:t xml:space="preserve">Typographic error fixed in Application </w:t>
            </w:r>
          </w:p>
          <w:p w:rsidR="00000000" w:rsidRPr="001A04A7" w:rsidP="001A04A7">
            <w:pPr>
              <w:pStyle w:val="BodyText"/>
            </w:pPr>
            <w:r w:rsidRPr="001A04A7">
              <w:t>Workplace evidence requirements updated in Performance Evidence and Assessment Conditions.</w:t>
            </w:r>
          </w:p>
          <w:p w:rsidR="00000000" w:rsidP="001A04A7">
            <w:pPr>
              <w:pStyle w:val="BodyText"/>
              <w:rPr>
                <w:lang w:val="en-NZ"/>
              </w:rPr>
            </w:pPr>
            <w:r w:rsidRPr="001A04A7">
              <w:t>Assessor requirements updated in Assessment Conditions.</w:t>
            </w:r>
          </w:p>
        </w:tc>
      </w:tr>
      <w:tr w:rsidTr="001A0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04A7" w:rsidP="001A04A7">
            <w:pPr>
              <w:pStyle w:val="BodyText"/>
            </w:pPr>
            <w:r w:rsidRPr="001A04A7">
              <w:t>Release 1. This is the first release of this unit of competency in t</w:t>
            </w:r>
            <w:r w:rsidRPr="001A04A7">
              <w:t>he UEE Electrotechnology Training Package.</w:t>
            </w:r>
          </w:p>
        </w:tc>
      </w:tr>
    </w:tbl>
    <w:p w:rsidR="00000000" w:rsidRPr="001A04A7" w:rsidP="001A04A7">
      <w:pPr>
        <w:pStyle w:val="NoPaddingFontSize1"/>
      </w:pPr>
    </w:p>
    <w:p w:rsidR="00000000" w:rsidRPr="001A04A7" w:rsidP="001A04A7">
      <w:pPr>
        <w:pStyle w:val="AllowPageBreak"/>
      </w:pPr>
    </w:p>
    <w:p w:rsidR="00000000" w:rsidRPr="001A04A7" w:rsidP="001A04A7">
      <w:pPr>
        <w:pStyle w:val="Heading1"/>
      </w:pPr>
      <w:bookmarkStart w:id="2" w:name="O_1237990"/>
      <w:bookmarkEnd w:id="2"/>
      <w:r w:rsidRPr="001A04A7">
        <w:t>Performance Evidence</w:t>
      </w:r>
    </w:p>
    <w:tbl>
      <w:tblPr>
        <w:tblW w:w="9497" w:type="dxa"/>
        <w:tblLayout w:type="fixed"/>
        <w:tblCellMar>
          <w:left w:w="62" w:type="dxa"/>
          <w:right w:w="62" w:type="dxa"/>
        </w:tblCellMar>
        <w:tblLook w:val="0000"/>
      </w:tblPr>
      <w:tblGrid>
        <w:gridCol w:w="9497"/>
      </w:tblGrid>
      <w:tr w:rsidTr="001A0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04A7">
            <w:pPr>
              <w:pStyle w:val="BodyText"/>
              <w:rPr>
                <w:lang w:val="en-NZ"/>
              </w:rPr>
            </w:pPr>
            <w:r w:rsidRPr="001A04A7">
              <w:t>Evidence required to demonstrate competence in this unit must be relevant to and satisfy all of the requirements of the elements, performance criteria and range of conditi</w:t>
            </w:r>
            <w:r w:rsidRPr="001A04A7">
              <w:t xml:space="preserve">ons on at least two separate occasions and include: </w:t>
            </w:r>
          </w:p>
        </w:tc>
      </w:tr>
      <w:tr w:rsidTr="001A0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04A7" w:rsidP="001A04A7">
            <w:pPr>
              <w:pStyle w:val="ListBullet"/>
            </w:pPr>
            <w:r w:rsidRPr="001A04A7">
              <w:t># applying work health and safety (WHS)/occupational health and safety (OHS) workplace procedures, including:</w:t>
            </w:r>
          </w:p>
          <w:p w:rsidR="00000000" w:rsidRPr="001A04A7" w:rsidP="001A04A7">
            <w:pPr>
              <w:pStyle w:val="ListBullet2"/>
            </w:pPr>
            <w:r w:rsidRPr="001A04A7">
              <w:t># identifying hazards, assessing risks and implementing control measures</w:t>
            </w:r>
          </w:p>
          <w:p w:rsidR="00000000" w:rsidRPr="001A04A7" w:rsidP="001A04A7">
            <w:pPr>
              <w:pStyle w:val="ListBullet"/>
            </w:pPr>
            <w:r w:rsidRPr="001A04A7">
              <w:t># checking circuits are isolated in accordance with workplace procedures and regulatory requirements</w:t>
            </w:r>
          </w:p>
          <w:p w:rsidR="00000000" w:rsidRPr="001A04A7" w:rsidP="001A04A7">
            <w:pPr>
              <w:pStyle w:val="ListBullet"/>
            </w:pPr>
            <w:r w:rsidRPr="001A04A7">
              <w:t>determining the operating parameters of existing socket outlets circuits</w:t>
            </w:r>
          </w:p>
          <w:p w:rsidR="00000000" w:rsidRPr="001A04A7" w:rsidP="001A04A7">
            <w:pPr>
              <w:pStyle w:val="ListBullet"/>
            </w:pPr>
            <w:r w:rsidRPr="001A04A7">
              <w:t># altering existing socket outlets circuits to comply with specified operating par</w:t>
            </w:r>
            <w:r w:rsidRPr="001A04A7">
              <w:t>ameters</w:t>
            </w:r>
          </w:p>
          <w:p w:rsidR="00000000" w:rsidRPr="001A04A7" w:rsidP="001A04A7">
            <w:pPr>
              <w:pStyle w:val="ListBullet"/>
            </w:pPr>
            <w:r w:rsidRPr="001A04A7">
              <w:t># developing socket outlets circuits to comply with a specified function and operating parameters</w:t>
            </w:r>
          </w:p>
          <w:p w:rsidR="00000000" w:rsidRPr="001A04A7" w:rsidP="001A04A7">
            <w:pPr>
              <w:pStyle w:val="ListBullet"/>
            </w:pPr>
            <w:r w:rsidRPr="001A04A7">
              <w:t># determining conditions causing existing socket outlets circuits to be unsafe</w:t>
            </w:r>
          </w:p>
          <w:p w:rsidR="00000000" w:rsidRPr="001A04A7" w:rsidP="001A04A7">
            <w:pPr>
              <w:pStyle w:val="ListBullet"/>
            </w:pPr>
            <w:r w:rsidRPr="001A04A7">
              <w:t>installing circuits supplying a combination of socket outlets and equip</w:t>
            </w:r>
            <w:r w:rsidRPr="001A04A7">
              <w:t>ment</w:t>
            </w:r>
          </w:p>
          <w:p w:rsidR="00000000" w:rsidRPr="001A04A7" w:rsidP="001A04A7">
            <w:pPr>
              <w:pStyle w:val="ListBullet"/>
            </w:pPr>
            <w:r w:rsidRPr="001A04A7">
              <w:t>installing, terminating and testing of supported pendant outlets</w:t>
            </w:r>
          </w:p>
          <w:p w:rsidR="00000000" w:rsidRPr="001A04A7" w:rsidP="001A04A7">
            <w:pPr>
              <w:pStyle w:val="ListBullet"/>
            </w:pPr>
            <w:r w:rsidRPr="001A04A7">
              <w:t xml:space="preserve"># verifying correct operation of the installed circuits, including dead testing to comply with industry standards </w:t>
            </w:r>
          </w:p>
          <w:p w:rsidR="00000000" w:rsidRPr="001A04A7" w:rsidP="001A04A7">
            <w:pPr>
              <w:pStyle w:val="ListBullet"/>
            </w:pPr>
            <w:r w:rsidRPr="001A04A7">
              <w:t># verifying the polarity of switched socket outlets</w:t>
            </w:r>
          </w:p>
          <w:p w:rsidR="00000000" w:rsidRPr="001A04A7" w:rsidP="001A04A7">
            <w:pPr>
              <w:pStyle w:val="ListBullet"/>
            </w:pPr>
            <w:r w:rsidRPr="001A04A7">
              <w:t># identifying fault</w:t>
            </w:r>
            <w:r w:rsidRPr="001A04A7">
              <w:t>y socket outlets from visual inspection and/or test results</w:t>
            </w:r>
          </w:p>
          <w:p w:rsidR="00000000" w:rsidRPr="001A04A7" w:rsidP="001A04A7">
            <w:pPr>
              <w:pStyle w:val="ListBullet"/>
            </w:pPr>
            <w:r w:rsidRPr="001A04A7">
              <w:t>ensuring all work complies with relevant Australian Standards and legislation</w:t>
            </w:r>
          </w:p>
          <w:p w:rsidR="00000000" w:rsidRPr="001A04A7" w:rsidP="001A04A7">
            <w:pPr>
              <w:pStyle w:val="ListBullet"/>
            </w:pPr>
            <w:r w:rsidRPr="001A04A7">
              <w:t>completing work and documenting activities.</w:t>
            </w:r>
          </w:p>
        </w:tc>
      </w:tr>
    </w:tbl>
    <w:p w:rsidR="00000000" w:rsidRPr="001A04A7" w:rsidP="001A04A7">
      <w:pPr>
        <w:pStyle w:val="NoPaddingFontSize1"/>
      </w:pPr>
    </w:p>
    <w:p w:rsidR="00000000" w:rsidRPr="001A04A7" w:rsidP="001A04A7">
      <w:pPr>
        <w:pStyle w:val="AllowPageBreak"/>
      </w:pPr>
    </w:p>
    <w:p w:rsidR="00000000" w:rsidRPr="001A04A7" w:rsidP="001A04A7">
      <w:pPr>
        <w:pStyle w:val="Heading1"/>
      </w:pPr>
      <w:bookmarkStart w:id="3" w:name="O_1237989"/>
      <w:bookmarkEnd w:id="3"/>
      <w:r w:rsidRPr="001A04A7">
        <w:t>Knowledge Evidence</w:t>
      </w:r>
    </w:p>
    <w:tbl>
      <w:tblPr>
        <w:tblW w:w="9497" w:type="dxa"/>
        <w:tblLayout w:type="fixed"/>
        <w:tblCellMar>
          <w:left w:w="62" w:type="dxa"/>
          <w:right w:w="62" w:type="dxa"/>
        </w:tblCellMar>
        <w:tblLook w:val="0000"/>
      </w:tblPr>
      <w:tblGrid>
        <w:gridCol w:w="9497"/>
      </w:tblGrid>
      <w:tr w:rsidTr="001A0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04A7">
            <w:pPr>
              <w:pStyle w:val="BodyText"/>
              <w:rPr>
                <w:lang w:val="en-NZ"/>
              </w:rPr>
            </w:pPr>
            <w:r w:rsidRPr="001A04A7">
              <w:t xml:space="preserve">Evidence required to demonstrate competence in this unit must be relevant to and satisfy all of </w:t>
            </w:r>
            <w:r w:rsidRPr="001A04A7">
              <w:t xml:space="preserve">the requirements of the elements, performance criteria and range of conditions and include knowledge of: </w:t>
            </w:r>
          </w:p>
        </w:tc>
      </w:tr>
      <w:tr w:rsidTr="001A0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04A7" w:rsidP="001A04A7">
            <w:pPr>
              <w:pStyle w:val="ListBullet"/>
            </w:pPr>
            <w:r w:rsidRPr="001A04A7">
              <w:t>circuits for socket outlets, including:</w:t>
            </w:r>
          </w:p>
          <w:p w:rsidR="00000000" w:rsidRPr="001A04A7" w:rsidP="001A04A7">
            <w:pPr>
              <w:pStyle w:val="ListBullet2"/>
            </w:pPr>
            <w:r w:rsidRPr="001A04A7">
              <w:t>different t</w:t>
            </w:r>
            <w:r w:rsidRPr="001A04A7">
              <w:t>ypes of socket outlets and their purpose</w:t>
            </w:r>
          </w:p>
          <w:p w:rsidR="00000000" w:rsidRPr="001A04A7" w:rsidP="001A04A7">
            <w:pPr>
              <w:pStyle w:val="ListBullet2"/>
            </w:pPr>
            <w:r w:rsidRPr="001A04A7">
              <w:t>requirements concerning the polarity of switched socket outlets</w:t>
            </w:r>
          </w:p>
          <w:p w:rsidR="00000000" w:rsidRPr="001A04A7" w:rsidP="001A04A7">
            <w:pPr>
              <w:pStyle w:val="ListBullet2"/>
            </w:pPr>
            <w:r w:rsidRPr="001A04A7">
              <w:t>techniques for checking for phase rotation for three phase outlets</w:t>
            </w:r>
          </w:p>
          <w:p w:rsidR="00000000" w:rsidRPr="001A04A7" w:rsidP="001A04A7">
            <w:pPr>
              <w:pStyle w:val="ListBullet2"/>
            </w:pPr>
            <w:r w:rsidRPr="001A04A7">
              <w:t>correct cable size to supply 10 ampere (A), 15 A, 20 A and 32 A socket outlets (single and three phase) for given installation conditions</w:t>
            </w:r>
          </w:p>
          <w:p w:rsidR="00000000" w:rsidRPr="001A04A7" w:rsidP="001A04A7">
            <w:pPr>
              <w:pStyle w:val="ListBullet2"/>
            </w:pPr>
            <w:r w:rsidRPr="001A04A7">
              <w:t>verifying number of socket outlets connected to a 16 A and 20 A circuit breaker in accordance with industry standards</w:t>
            </w:r>
          </w:p>
          <w:p w:rsidR="00000000" w:rsidRPr="001A04A7" w:rsidP="001A04A7">
            <w:pPr>
              <w:pStyle w:val="ListBullet2"/>
            </w:pPr>
            <w:r w:rsidRPr="001A04A7">
              <w:t>installation methods of single phase socket outlet circuits</w:t>
            </w:r>
          </w:p>
          <w:p w:rsidR="00000000" w:rsidRPr="001A04A7" w:rsidP="001A04A7">
            <w:pPr>
              <w:pStyle w:val="ListBullet2"/>
            </w:pPr>
            <w:r w:rsidRPr="001A04A7">
              <w:t>correct operation of the installed circuits, including dead testing for correct in accordance with industry standards</w:t>
            </w:r>
          </w:p>
          <w:p w:rsidR="00000000" w:rsidRPr="001A04A7" w:rsidP="001A04A7">
            <w:pPr>
              <w:pStyle w:val="ListBullet2"/>
            </w:pPr>
            <w:r w:rsidRPr="001A04A7">
              <w:t>circuit protection and residual current device (RCD) requirements for socket o</w:t>
            </w:r>
            <w:r w:rsidRPr="001A04A7">
              <w:t>utlets circuits</w:t>
            </w:r>
          </w:p>
          <w:p w:rsidR="00000000" w:rsidRPr="001A04A7" w:rsidP="001A04A7">
            <w:pPr>
              <w:pStyle w:val="ListBullet2"/>
            </w:pPr>
            <w:r w:rsidRPr="001A04A7">
              <w:t>use of cable support systems for pendant outlets</w:t>
            </w:r>
          </w:p>
          <w:p w:rsidR="00000000" w:rsidRPr="001A04A7" w:rsidP="001A04A7">
            <w:pPr>
              <w:pStyle w:val="ListBullet2"/>
            </w:pPr>
            <w:r w:rsidRPr="001A04A7">
              <w:t>socket outlets for vehicle charging</w:t>
            </w:r>
          </w:p>
          <w:p w:rsidR="00000000" w:rsidRPr="001A04A7" w:rsidP="001A04A7">
            <w:pPr>
              <w:pStyle w:val="ListBullet"/>
            </w:pPr>
            <w:r w:rsidRPr="001A04A7">
              <w:t>final sub-circuits and segregation, including:</w:t>
            </w:r>
          </w:p>
          <w:p w:rsidR="00000000" w:rsidRPr="001A04A7" w:rsidP="001A04A7">
            <w:pPr>
              <w:pStyle w:val="ListBullet2"/>
            </w:pPr>
            <w:r w:rsidRPr="001A04A7">
              <w:t>purpose of mixed circuits</w:t>
            </w:r>
          </w:p>
          <w:p w:rsidR="00000000" w:rsidRPr="001A04A7" w:rsidP="001A04A7">
            <w:pPr>
              <w:pStyle w:val="ListBullet2"/>
            </w:pPr>
            <w:r w:rsidRPr="001A04A7">
              <w:t>circuit loading for a mixed circuit</w:t>
            </w:r>
          </w:p>
          <w:p w:rsidR="00000000" w:rsidRPr="001A04A7" w:rsidP="001A04A7">
            <w:pPr>
              <w:pStyle w:val="ListBullet2"/>
            </w:pPr>
            <w:r w:rsidRPr="001A04A7">
              <w:t>purpose of segregation of circuits and the A</w:t>
            </w:r>
            <w:r w:rsidRPr="001A04A7">
              <w:t>S/NZS 3000 requirements</w:t>
            </w:r>
          </w:p>
          <w:p w:rsidR="00000000" w:rsidRPr="001A04A7" w:rsidP="001A04A7">
            <w:pPr>
              <w:pStyle w:val="ListBullet2"/>
            </w:pPr>
            <w:r w:rsidRPr="001A04A7">
              <w:t>installation methods a single phase mixed circuit</w:t>
            </w:r>
          </w:p>
          <w:p w:rsidR="00000000" w:rsidRPr="001A04A7" w:rsidP="001A04A7">
            <w:pPr>
              <w:pStyle w:val="ListBullet2"/>
            </w:pPr>
            <w:r w:rsidRPr="001A04A7">
              <w:t>verifying correct operation of the installed circuits, including testing for correct compliance with industry standards</w:t>
            </w:r>
          </w:p>
          <w:p w:rsidR="00000000" w:rsidRPr="001A04A7" w:rsidP="001A04A7">
            <w:pPr>
              <w:pStyle w:val="ListBullet"/>
            </w:pPr>
            <w:r w:rsidRPr="001A04A7">
              <w:t>identifying faults in socket outlets circuits including:</w:t>
            </w:r>
          </w:p>
          <w:p w:rsidR="00000000" w:rsidRPr="001A04A7" w:rsidP="001A04A7">
            <w:pPr>
              <w:pStyle w:val="ListBullet2"/>
            </w:pPr>
            <w:r w:rsidRPr="001A04A7">
              <w:t>circuit diagrams, wiring diagrams, cable schedules and specifications of socket outlets circuits</w:t>
            </w:r>
          </w:p>
          <w:p w:rsidR="00000000" w:rsidRPr="001A04A7" w:rsidP="001A04A7">
            <w:pPr>
              <w:pStyle w:val="ListBullet2"/>
            </w:pPr>
            <w:r w:rsidRPr="001A04A7">
              <w:t>common fault symptoms and associated causes</w:t>
            </w:r>
          </w:p>
          <w:p w:rsidR="00000000" w:rsidRPr="001A04A7" w:rsidP="001A04A7">
            <w:pPr>
              <w:pStyle w:val="ListBullet2"/>
            </w:pPr>
            <w:r w:rsidRPr="001A04A7">
              <w:t>common faults in socket outlets circuits</w:t>
            </w:r>
          </w:p>
          <w:p w:rsidR="00000000" w:rsidRPr="001A04A7" w:rsidP="001A04A7">
            <w:pPr>
              <w:pStyle w:val="ListBullet2"/>
            </w:pPr>
            <w:r w:rsidRPr="001A04A7">
              <w:t>techniques for locating and repairing/replacing faulty socket outlets</w:t>
            </w:r>
          </w:p>
          <w:p w:rsidR="00000000" w:rsidRPr="001A04A7" w:rsidP="001A04A7">
            <w:pPr>
              <w:pStyle w:val="ListBullet2"/>
            </w:pPr>
            <w:r w:rsidRPr="001A04A7">
              <w:t>meth</w:t>
            </w:r>
            <w:r w:rsidRPr="001A04A7">
              <w:t>ods to determine the cause of RCD operation in a socket outlets circuits</w:t>
            </w:r>
          </w:p>
          <w:p w:rsidR="00000000" w:rsidRPr="001A04A7" w:rsidP="001A04A7">
            <w:pPr>
              <w:pStyle w:val="ListBullet"/>
            </w:pPr>
            <w:r w:rsidRPr="001A04A7">
              <w:t>hazards and safety requirements related to equipment incorporating electronic components used in electrical systems</w:t>
            </w:r>
          </w:p>
          <w:p w:rsidR="00000000" w:rsidRPr="001A04A7" w:rsidP="001A04A7">
            <w:pPr>
              <w:pStyle w:val="ListBullet"/>
            </w:pPr>
            <w:r w:rsidRPr="001A04A7">
              <w:t>relevant manufacturer specifications.</w:t>
            </w:r>
          </w:p>
        </w:tc>
      </w:tr>
    </w:tbl>
    <w:p w:rsidR="00000000" w:rsidRPr="001A04A7" w:rsidP="001A04A7">
      <w:pPr>
        <w:pStyle w:val="NoPaddingFontSize1"/>
      </w:pPr>
    </w:p>
    <w:p w:rsidR="00000000" w:rsidRPr="001A04A7" w:rsidP="001A04A7">
      <w:pPr>
        <w:pStyle w:val="AllowPageBreak"/>
      </w:pPr>
    </w:p>
    <w:p w:rsidR="00000000" w:rsidRPr="001A04A7" w:rsidP="001A04A7">
      <w:pPr>
        <w:pStyle w:val="Heading1"/>
      </w:pPr>
      <w:bookmarkStart w:id="4" w:name="O_1237988"/>
      <w:bookmarkEnd w:id="4"/>
      <w:r w:rsidRPr="001A04A7">
        <w:t>Assessment Conditions</w:t>
      </w:r>
    </w:p>
    <w:tbl>
      <w:tblPr>
        <w:tblW w:w="9497" w:type="dxa"/>
        <w:tblLayout w:type="fixed"/>
        <w:tblCellMar>
          <w:left w:w="62" w:type="dxa"/>
          <w:right w:w="62" w:type="dxa"/>
        </w:tblCellMar>
        <w:tblLook w:val="0000"/>
      </w:tblPr>
      <w:tblGrid>
        <w:gridCol w:w="9497"/>
      </w:tblGrid>
      <w:tr w:rsidTr="001A0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04A7" w:rsidP="001A04A7">
            <w:pPr>
              <w:pStyle w:val="BodyText"/>
            </w:pPr>
            <w:r w:rsidRPr="001A04A7">
              <w:t>Assessors must hold credentials specified within the Standards for Registered Training Organisations current at the time of assessment.</w:t>
            </w:r>
          </w:p>
          <w:p w:rsidR="00000000" w:rsidRPr="001A04A7" w:rsidP="001A04A7">
            <w:pPr>
              <w:pStyle w:val="BodyText"/>
            </w:pPr>
            <w:r w:rsidRPr="001A04A7">
              <w:t>Assessors must also hold the occupational licence for the jurisdiction the assessment is occurring</w:t>
            </w:r>
            <w:r w:rsidRPr="001A04A7">
              <w:t xml:space="preserve"> where the activity being assessed requires a licence to practice.</w:t>
            </w:r>
          </w:p>
          <w:p w:rsidR="00000000" w:rsidRPr="001A04A7" w:rsidP="001A04A7">
            <w:pPr>
              <w:pStyle w:val="BodyText"/>
            </w:pPr>
            <w:r w:rsidRPr="001A04A7">
              <w:t>Assessment must satisfy the Principles of Assessment and Rules of Evidence and all regulatory requirements included within the Standards for Registered Training Organisations current at the</w:t>
            </w:r>
            <w:r w:rsidRPr="001A04A7">
              <w:t xml:space="preserve"> time of assessment.</w:t>
            </w:r>
          </w:p>
          <w:p w:rsidR="00000000" w:rsidRPr="001A04A7" w:rsidP="001A04A7">
            <w:pPr>
              <w:pStyle w:val="BodyText"/>
            </w:pPr>
            <w:r w:rsidRPr="001A04A7">
              <w:t>Assessment must occur in suitable workplace operational situations where it is appropriate to do so, where this is not appropriate, assessment must occur in suitable simulated workplace operational situations that replicate workplace c</w:t>
            </w:r>
            <w:r w:rsidRPr="001A04A7">
              <w:t>onditions.</w:t>
            </w:r>
          </w:p>
          <w:p w:rsidR="00000000" w:rsidRPr="001A04A7" w:rsidP="001A04A7">
            <w:pPr>
              <w:pStyle w:val="BodyText"/>
            </w:pPr>
            <w:r w:rsidRPr="001A04A7">
              <w:t>Assessment processes and techniques must be appropriate to the language, literacy and numeracy requirements of the work being performed and the needs of the candidate.</w:t>
            </w:r>
          </w:p>
          <w:p w:rsidR="00000000" w:rsidRPr="001A04A7" w:rsidP="001A04A7">
            <w:pPr>
              <w:pStyle w:val="BodyText"/>
            </w:pPr>
            <w:r w:rsidRPr="001A04A7">
              <w:t>Resources for assessment must include access to:</w:t>
            </w:r>
          </w:p>
          <w:p w:rsidR="00000000" w:rsidRPr="001A04A7" w:rsidP="001A04A7">
            <w:pPr>
              <w:pStyle w:val="ListBullet"/>
            </w:pPr>
            <w:r w:rsidRPr="001A04A7">
              <w:t>a range of relevant exercis</w:t>
            </w:r>
            <w:r w:rsidRPr="001A04A7">
              <w:t>es, case studies and/or other simulations</w:t>
            </w:r>
          </w:p>
          <w:p w:rsidR="00000000" w:rsidRPr="001A04A7" w:rsidP="001A04A7">
            <w:pPr>
              <w:pStyle w:val="ListBullet"/>
            </w:pPr>
            <w:r w:rsidRPr="001A04A7">
              <w:t>relevant and appropriate materials, tools, facilities, equipment and personal protective equipment (PPE) currently used in industry</w:t>
            </w:r>
          </w:p>
          <w:p w:rsidR="00000000" w:rsidRPr="001A04A7" w:rsidP="001A04A7">
            <w:pPr>
              <w:pStyle w:val="ListBullet"/>
            </w:pPr>
            <w:r w:rsidRPr="001A04A7">
              <w:t>applicable documentation, including workplace procedures, equipment specifications</w:t>
            </w:r>
            <w:r w:rsidRPr="001A04A7">
              <w:t>, regulations, relevant industry standards, codes of practice and operation manuals.</w:t>
            </w:r>
          </w:p>
          <w:p w:rsidR="00000000" w:rsidRPr="001A04A7" w:rsidP="001A04A7">
            <w:pPr>
              <w:pStyle w:val="BodyText"/>
            </w:pPr>
            <w:r w:rsidRPr="001A04A7">
              <w:t>In addition, evidence of Performance Evidence items of this unit marked with a hash (#) must be gathered in authentic workplace operational conditions (not simulated) befo</w:t>
            </w:r>
            <w:r w:rsidRPr="001A04A7">
              <w:t>re final determination of competence in this unit can be made.</w:t>
            </w:r>
          </w:p>
        </w:tc>
      </w:tr>
    </w:tbl>
    <w:p w:rsidR="00000000" w:rsidRPr="001A04A7" w:rsidP="001A04A7">
      <w:pPr>
        <w:pStyle w:val="NoPaddingFontSize1"/>
      </w:pPr>
    </w:p>
    <w:p w:rsidR="00000000" w:rsidRPr="001A04A7" w:rsidP="001A04A7">
      <w:pPr>
        <w:pStyle w:val="AllowPageBreak"/>
      </w:pPr>
    </w:p>
    <w:p w:rsidR="00000000" w:rsidRPr="001A04A7" w:rsidP="001A04A7">
      <w:pPr>
        <w:pStyle w:val="Heading1"/>
      </w:pPr>
      <w:bookmarkStart w:id="5" w:name="O_1238003"/>
      <w:bookmarkEnd w:id="5"/>
      <w:r w:rsidRPr="001A04A7">
        <w:t>Links</w:t>
      </w:r>
    </w:p>
    <w:p w:rsidR="00000000" w:rsidRPr="001A04A7" w:rsidP="005507FC">
      <w:pPr>
        <w:pStyle w:val="BodyText"/>
      </w:pPr>
      <w:r w:rsidRPr="001A04A7">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C0EE5">
        <w:rPr>
          <w:rStyle w:val="Hyperlink"/>
        </w:rPr>
        <w:t>https://vetnet.gov.au/Pages/TrainingDocs.aspx?q=b8a8f136-5421-4ce1-92e0-2b50341431b6</w:t>
      </w:r>
      <w:r>
        <w:fldChar w:fldCharType="end"/>
      </w:r>
    </w:p>
    <w:p w:rsidR="00000000" w:rsidRPr="001A04A7" w:rsidP="001A04A7"/>
    <w:sectPr w:rsidSect="001A04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4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4A7" w:rsidRPr="005507FC" w:rsidP="00550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4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FC" w:rsidP="001A04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07FC" w:rsidP="001A04A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507FC" w:rsidP="001A04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4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04A7" w:rsidRPr="005507FC" w:rsidP="005507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4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FC" w:rsidRPr="002D2AF8" w:rsidP="001A04A7">
    <w:pPr>
      <w:pStyle w:val="Header"/>
      <w:framePr w:wrap="around"/>
    </w:pPr>
    <w:r>
      <w:fldChar w:fldCharType="begin"/>
    </w:r>
    <w:r>
      <w:instrText xml:space="preserve"> TITLE   \* MERGEFORMAT </w:instrText>
    </w:r>
    <w:r>
      <w:fldChar w:fldCharType="separate"/>
    </w:r>
    <w:r>
      <w:t>Assessment Requirements for UEEEL0010 Evaluate and modify low voltage socket outlets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507FC" w:rsidP="001A04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70F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34BE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F63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4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4A7"/>
    <w:pPr>
      <w:spacing w:before="360" w:after="60"/>
      <w:outlineLvl w:val="0"/>
    </w:pPr>
    <w:rPr>
      <w:sz w:val="32"/>
    </w:rPr>
  </w:style>
  <w:style w:type="paragraph" w:styleId="Heading2">
    <w:name w:val="heading 2"/>
    <w:basedOn w:val="HeadingBase"/>
    <w:next w:val="BodyText"/>
    <w:link w:val="Heading2Char"/>
    <w:qFormat/>
    <w:rsid w:val="001A04A7"/>
    <w:pPr>
      <w:keepLines/>
      <w:spacing w:before="240" w:after="120"/>
      <w:outlineLvl w:val="1"/>
    </w:pPr>
    <w:rPr>
      <w:sz w:val="28"/>
      <w:szCs w:val="40"/>
    </w:rPr>
  </w:style>
  <w:style w:type="paragraph" w:styleId="Heading3">
    <w:name w:val="heading 3"/>
    <w:basedOn w:val="HeadingBase"/>
    <w:next w:val="BodyText"/>
    <w:link w:val="Heading3Char"/>
    <w:qFormat/>
    <w:rsid w:val="001A04A7"/>
    <w:pPr>
      <w:spacing w:before="180" w:after="120"/>
      <w:outlineLvl w:val="2"/>
    </w:pPr>
    <w:rPr>
      <w:spacing w:val="-10"/>
      <w:kern w:val="32"/>
    </w:rPr>
  </w:style>
  <w:style w:type="paragraph" w:styleId="Heading4">
    <w:name w:val="heading 4"/>
    <w:basedOn w:val="HeadingBase"/>
    <w:next w:val="BodyText"/>
    <w:link w:val="Heading4Char"/>
    <w:qFormat/>
    <w:rsid w:val="001A04A7"/>
    <w:pPr>
      <w:spacing w:before="160" w:after="120"/>
      <w:outlineLvl w:val="3"/>
    </w:pPr>
    <w:rPr>
      <w:sz w:val="22"/>
    </w:rPr>
  </w:style>
  <w:style w:type="paragraph" w:styleId="Heading5">
    <w:name w:val="heading 5"/>
    <w:basedOn w:val="HeadingBase"/>
    <w:next w:val="Normal"/>
    <w:link w:val="Heading5Char"/>
    <w:qFormat/>
    <w:rsid w:val="001A04A7"/>
    <w:pPr>
      <w:spacing w:before="80"/>
      <w:outlineLvl w:val="4"/>
    </w:pPr>
    <w:rPr>
      <w:color w:val="918585"/>
      <w:sz w:val="20"/>
    </w:rPr>
  </w:style>
  <w:style w:type="paragraph" w:styleId="Heading6">
    <w:name w:val="heading 6"/>
    <w:basedOn w:val="HeadingBase"/>
    <w:next w:val="Normal"/>
    <w:link w:val="Heading6Char"/>
    <w:qFormat/>
    <w:rsid w:val="001A04A7"/>
    <w:pPr>
      <w:spacing w:before="60"/>
      <w:outlineLvl w:val="5"/>
    </w:pPr>
    <w:rPr>
      <w:color w:val="918585"/>
      <w:sz w:val="20"/>
    </w:rPr>
  </w:style>
  <w:style w:type="paragraph" w:styleId="Heading7">
    <w:name w:val="heading 7"/>
    <w:basedOn w:val="Normal"/>
    <w:next w:val="Normal"/>
    <w:link w:val="Heading7Char"/>
    <w:qFormat/>
    <w:rsid w:val="001A04A7"/>
    <w:pPr>
      <w:ind w:left="720"/>
      <w:outlineLvl w:val="6"/>
    </w:pPr>
    <w:rPr>
      <w:i/>
    </w:rPr>
  </w:style>
  <w:style w:type="paragraph" w:styleId="Heading8">
    <w:name w:val="heading 8"/>
    <w:basedOn w:val="Normal"/>
    <w:next w:val="Normal"/>
    <w:link w:val="Heading8Char"/>
    <w:qFormat/>
    <w:rsid w:val="001A04A7"/>
    <w:pPr>
      <w:ind w:left="720"/>
      <w:outlineLvl w:val="7"/>
    </w:pPr>
    <w:rPr>
      <w:i/>
    </w:rPr>
  </w:style>
  <w:style w:type="paragraph" w:styleId="Heading9">
    <w:name w:val="heading 9"/>
    <w:basedOn w:val="Normal"/>
    <w:next w:val="Normal"/>
    <w:link w:val="Heading9Char"/>
    <w:qFormat/>
    <w:rsid w:val="001A04A7"/>
    <w:pPr>
      <w:ind w:left="720"/>
      <w:outlineLvl w:val="8"/>
    </w:pPr>
    <w:rPr>
      <w:i/>
    </w:rPr>
  </w:style>
  <w:style w:type="character" w:default="1" w:styleId="DefaultParagraphFont">
    <w:name w:val="Default Paragraph Font"/>
    <w:uiPriority w:val="1"/>
    <w:unhideWhenUsed/>
    <w:rsid w:val="001A04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4A7"/>
  </w:style>
  <w:style w:type="character" w:customStyle="1" w:styleId="Heading1Char">
    <w:name w:val="Heading 1 Char"/>
    <w:basedOn w:val="DefaultParagraphFont"/>
    <w:link w:val="Heading1"/>
    <w:rsid w:val="001A04A7"/>
    <w:rPr>
      <w:rFonts w:ascii="Times New Roman" w:eastAsia="Times New Roman" w:hAnsi="Times New Roman" w:cs="Times New Roman"/>
      <w:b/>
      <w:sz w:val="32"/>
      <w:szCs w:val="20"/>
      <w:lang w:eastAsia="en-US"/>
    </w:rPr>
  </w:style>
  <w:style w:type="paragraph" w:styleId="BodyText">
    <w:name w:val="Body Text"/>
    <w:basedOn w:val="Normal"/>
    <w:link w:val="BodyTextChar"/>
    <w:rsid w:val="001A04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04A7"/>
    <w:rPr>
      <w:rFonts w:ascii="Times New Roman" w:eastAsia="Times New Roman" w:hAnsi="Times New Roman" w:cs="Times New Roman"/>
      <w:sz w:val="24"/>
      <w:lang w:eastAsia="en-US"/>
    </w:rPr>
  </w:style>
  <w:style w:type="paragraph" w:styleId="ListBullet">
    <w:name w:val="List Bullet"/>
    <w:basedOn w:val="List"/>
    <w:rsid w:val="001A04A7"/>
    <w:pPr>
      <w:numPr>
        <w:numId w:val="12"/>
      </w:numPr>
      <w:tabs>
        <w:tab w:val="clear" w:pos="340"/>
      </w:tabs>
      <w:spacing w:before="40" w:after="40"/>
    </w:pPr>
  </w:style>
  <w:style w:type="paragraph" w:styleId="ListBullet2">
    <w:name w:val="List Bullet 2"/>
    <w:basedOn w:val="List2"/>
    <w:rsid w:val="001A04A7"/>
    <w:pPr>
      <w:numPr>
        <w:numId w:val="13"/>
      </w:numPr>
      <w:tabs>
        <w:tab w:val="clear" w:pos="680"/>
      </w:tabs>
    </w:pPr>
  </w:style>
  <w:style w:type="paragraph" w:customStyle="1" w:styleId="SuperHeading">
    <w:name w:val="SuperHeading"/>
    <w:basedOn w:val="Normal"/>
    <w:rsid w:val="001A04A7"/>
    <w:pPr>
      <w:spacing w:before="240" w:after="120"/>
      <w:outlineLvl w:val="0"/>
    </w:pPr>
    <w:rPr>
      <w:rFonts w:ascii="Times New Roman" w:hAnsi="Times New Roman"/>
      <w:b/>
      <w:sz w:val="32"/>
    </w:rPr>
  </w:style>
  <w:style w:type="paragraph" w:customStyle="1" w:styleId="AllowPageBreak">
    <w:name w:val="AllowPageBreak"/>
    <w:rsid w:val="001A04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04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4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4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4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4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4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4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4A7"/>
    <w:rPr>
      <w:rFonts w:ascii="Courier New" w:eastAsia="Times New Roman" w:hAnsi="Courier New" w:cs="Times New Roman"/>
      <w:i/>
      <w:szCs w:val="20"/>
      <w:lang w:eastAsia="en-US"/>
    </w:rPr>
  </w:style>
  <w:style w:type="paragraph" w:customStyle="1" w:styleId="HeadingBase">
    <w:name w:val="Heading Base"/>
    <w:rsid w:val="001A04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4A7"/>
    <w:pPr>
      <w:tabs>
        <w:tab w:val="right" w:leader="dot" w:pos="9072"/>
      </w:tabs>
      <w:ind w:left="567"/>
    </w:pPr>
    <w:rPr>
      <w:szCs w:val="22"/>
    </w:rPr>
  </w:style>
  <w:style w:type="paragraph" w:customStyle="1" w:styleId="TOCBase">
    <w:name w:val="TOC Base"/>
    <w:rsid w:val="001A04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4A7"/>
    <w:pPr>
      <w:tabs>
        <w:tab w:val="right" w:leader="dot" w:pos="9072"/>
      </w:tabs>
      <w:spacing w:before="40" w:after="40"/>
      <w:ind w:left="284"/>
    </w:pPr>
    <w:rPr>
      <w:rFonts w:ascii="Times New Roman" w:hAnsi="Times New Roman"/>
    </w:rPr>
  </w:style>
  <w:style w:type="paragraph" w:styleId="TOC1">
    <w:name w:val="toc 1"/>
    <w:basedOn w:val="TOCBase"/>
    <w:next w:val="Normal"/>
    <w:rsid w:val="001A04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04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4A7"/>
    <w:rPr>
      <w:rFonts w:ascii="Times New Roman" w:eastAsia="Times New Roman" w:hAnsi="Times New Roman" w:cs="Times New Roman"/>
      <w:sz w:val="16"/>
      <w:lang w:eastAsia="en-US"/>
    </w:rPr>
  </w:style>
  <w:style w:type="paragraph" w:styleId="Title">
    <w:name w:val="Title"/>
    <w:basedOn w:val="HeadingBase"/>
    <w:link w:val="TitleChar"/>
    <w:qFormat/>
    <w:rsid w:val="001A04A7"/>
    <w:pPr>
      <w:spacing w:before="5040"/>
      <w:jc w:val="center"/>
    </w:pPr>
    <w:rPr>
      <w:sz w:val="48"/>
      <w:szCs w:val="72"/>
      <w:lang w:val="en-US"/>
    </w:rPr>
  </w:style>
  <w:style w:type="character" w:customStyle="1" w:styleId="TitleChar">
    <w:name w:val="Title Char"/>
    <w:basedOn w:val="DefaultParagraphFont"/>
    <w:link w:val="Title"/>
    <w:rsid w:val="001A04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4A7"/>
    <w:pPr>
      <w:tabs>
        <w:tab w:val="left" w:pos="3600"/>
        <w:tab w:val="left" w:pos="3958"/>
      </w:tabs>
    </w:pPr>
  </w:style>
  <w:style w:type="paragraph" w:styleId="List">
    <w:name w:val="List"/>
    <w:basedOn w:val="BodyText"/>
    <w:next w:val="BodyText"/>
    <w:rsid w:val="001A04A7"/>
    <w:pPr>
      <w:tabs>
        <w:tab w:val="left" w:pos="340"/>
      </w:tabs>
      <w:spacing w:before="60" w:after="60"/>
      <w:ind w:left="340" w:hanging="340"/>
    </w:pPr>
  </w:style>
  <w:style w:type="paragraph" w:customStyle="1" w:styleId="Note">
    <w:name w:val="Note"/>
    <w:basedOn w:val="BodyText"/>
    <w:rsid w:val="001A04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04A7"/>
    <w:rPr>
      <w:b/>
      <w:spacing w:val="0"/>
    </w:rPr>
  </w:style>
  <w:style w:type="paragraph" w:customStyle="1" w:styleId="SuperTitle">
    <w:name w:val="SuperTitle"/>
    <w:basedOn w:val="Title"/>
    <w:rsid w:val="001A04A7"/>
    <w:pPr>
      <w:framePr w:wrap="auto" w:hAnchor="text" w:y="6049"/>
    </w:pPr>
    <w:rPr>
      <w:color w:val="000000"/>
      <w:sz w:val="40"/>
    </w:rPr>
  </w:style>
  <w:style w:type="paragraph" w:customStyle="1" w:styleId="TOCTitle">
    <w:name w:val="TOCTitle"/>
    <w:basedOn w:val="Heading1"/>
    <w:rsid w:val="001A04A7"/>
    <w:pPr>
      <w:spacing w:after="240"/>
      <w:jc w:val="center"/>
      <w:outlineLvl w:val="9"/>
    </w:pPr>
    <w:rPr>
      <w:caps/>
    </w:rPr>
  </w:style>
  <w:style w:type="paragraph" w:customStyle="1" w:styleId="Version">
    <w:name w:val="Version"/>
    <w:rsid w:val="001A04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04A7"/>
    <w:pPr>
      <w:keepNext w:val="0"/>
      <w:tabs>
        <w:tab w:val="right" w:pos="4176"/>
      </w:tabs>
      <w:ind w:left="198" w:hanging="198"/>
    </w:pPr>
    <w:rPr>
      <w:rFonts w:ascii="Garamond" w:hAnsi="Garamond"/>
    </w:rPr>
  </w:style>
  <w:style w:type="paragraph" w:styleId="IndexHeading">
    <w:name w:val="index heading"/>
    <w:basedOn w:val="Normal"/>
    <w:next w:val="Index1"/>
    <w:semiHidden/>
    <w:rsid w:val="001A04A7"/>
    <w:pPr>
      <w:spacing w:before="120" w:after="120"/>
    </w:pPr>
    <w:rPr>
      <w:rFonts w:ascii="Arial" w:hAnsi="Arial"/>
      <w:b/>
      <w:color w:val="918585"/>
      <w:sz w:val="24"/>
    </w:rPr>
  </w:style>
  <w:style w:type="paragraph" w:styleId="Header">
    <w:name w:val="header"/>
    <w:basedOn w:val="Normal"/>
    <w:link w:val="HeaderChar"/>
    <w:rsid w:val="001A04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4A7"/>
    <w:rPr>
      <w:rFonts w:ascii="Times New Roman" w:eastAsia="Times New Roman" w:hAnsi="Times New Roman" w:cs="Times New Roman"/>
      <w:sz w:val="16"/>
      <w:szCs w:val="20"/>
      <w:lang w:val="en-GB" w:eastAsia="en-US"/>
    </w:rPr>
  </w:style>
  <w:style w:type="paragraph" w:customStyle="1" w:styleId="Chapter">
    <w:name w:val="Chapter"/>
    <w:basedOn w:val="Normal"/>
    <w:rsid w:val="001A04A7"/>
    <w:pPr>
      <w:spacing w:before="240"/>
    </w:pPr>
    <w:rPr>
      <w:rFonts w:ascii="Times New Roman" w:hAnsi="Times New Roman"/>
      <w:smallCaps/>
      <w:spacing w:val="80"/>
      <w:sz w:val="28"/>
    </w:rPr>
  </w:style>
  <w:style w:type="paragraph" w:customStyle="1" w:styleId="InChapter">
    <w:name w:val="InChapter"/>
    <w:basedOn w:val="Heading3"/>
    <w:rsid w:val="001A04A7"/>
    <w:pPr>
      <w:spacing w:after="240"/>
      <w:outlineLvl w:val="9"/>
    </w:pPr>
    <w:rPr>
      <w:noProof/>
    </w:rPr>
  </w:style>
  <w:style w:type="paragraph" w:styleId="Index2">
    <w:name w:val="index 2"/>
    <w:basedOn w:val="Normal"/>
    <w:next w:val="Normal"/>
    <w:semiHidden/>
    <w:rsid w:val="001A04A7"/>
    <w:pPr>
      <w:tabs>
        <w:tab w:val="right" w:pos="4176"/>
      </w:tabs>
      <w:ind w:left="568" w:hanging="284"/>
    </w:pPr>
    <w:rPr>
      <w:rFonts w:ascii="Garamond" w:hAnsi="Garamond"/>
    </w:rPr>
  </w:style>
  <w:style w:type="paragraph" w:customStyle="1" w:styleId="Byline">
    <w:name w:val="Byline"/>
    <w:rsid w:val="001A04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4A7"/>
    <w:pPr>
      <w:tabs>
        <w:tab w:val="clear" w:pos="3600"/>
        <w:tab w:val="clear" w:pos="3958"/>
      </w:tabs>
      <w:jc w:val="right"/>
    </w:pPr>
  </w:style>
  <w:style w:type="character" w:styleId="Emphasis">
    <w:name w:val="Emphasis"/>
    <w:basedOn w:val="DefaultParagraphFont"/>
    <w:qFormat/>
    <w:rsid w:val="001A04A7"/>
    <w:rPr>
      <w:i/>
    </w:rPr>
  </w:style>
  <w:style w:type="paragraph" w:styleId="Caption">
    <w:name w:val="caption"/>
    <w:basedOn w:val="BodyText"/>
    <w:next w:val="Normal"/>
    <w:qFormat/>
    <w:rsid w:val="001A04A7"/>
    <w:pPr>
      <w:framePr w:w="2268" w:hSpace="181" w:vSpace="181" w:wrap="around" w:vAnchor="text" w:hAnchor="page" w:x="1135" w:y="285" w:anchorLock="1"/>
    </w:pPr>
    <w:rPr>
      <w:i/>
    </w:rPr>
  </w:style>
  <w:style w:type="paragraph" w:customStyle="1" w:styleId="MiniTOCTitle">
    <w:name w:val="MiniTOCTitle"/>
    <w:basedOn w:val="Heading4"/>
    <w:rsid w:val="001A04A7"/>
    <w:pPr>
      <w:spacing w:before="240"/>
      <w:outlineLvl w:val="9"/>
    </w:pPr>
    <w:rPr>
      <w:noProof/>
      <w:sz w:val="24"/>
    </w:rPr>
  </w:style>
  <w:style w:type="paragraph" w:customStyle="1" w:styleId="MiniTOCItem">
    <w:name w:val="MiniTOCItem"/>
    <w:basedOn w:val="ListBullet"/>
    <w:rsid w:val="001A04A7"/>
    <w:pPr>
      <w:numPr>
        <w:numId w:val="0"/>
      </w:numPr>
      <w:tabs>
        <w:tab w:val="right" w:leader="dot" w:pos="6521"/>
      </w:tabs>
      <w:spacing w:before="0" w:after="0"/>
    </w:pPr>
  </w:style>
  <w:style w:type="paragraph" w:customStyle="1" w:styleId="TOFTitle">
    <w:name w:val="TOFTitle"/>
    <w:basedOn w:val="TOCTitle"/>
    <w:rsid w:val="001A04A7"/>
  </w:style>
  <w:style w:type="paragraph" w:styleId="TableofFigures">
    <w:name w:val="table of figures"/>
    <w:basedOn w:val="Normal"/>
    <w:next w:val="Normal"/>
    <w:semiHidden/>
    <w:rsid w:val="001A04A7"/>
    <w:pPr>
      <w:tabs>
        <w:tab w:val="right" w:leader="dot" w:pos="9072"/>
      </w:tabs>
      <w:ind w:left="970" w:hanging="403"/>
    </w:pPr>
    <w:rPr>
      <w:rFonts w:ascii="Times New Roman" w:hAnsi="Times New Roman"/>
      <w:b/>
    </w:rPr>
  </w:style>
  <w:style w:type="paragraph" w:styleId="ListNumber">
    <w:name w:val="List Number"/>
    <w:basedOn w:val="List"/>
    <w:rsid w:val="001A04A7"/>
    <w:pPr>
      <w:numPr>
        <w:numId w:val="15"/>
      </w:numPr>
      <w:tabs>
        <w:tab w:val="clear" w:pos="340"/>
      </w:tabs>
    </w:pPr>
  </w:style>
  <w:style w:type="character" w:customStyle="1" w:styleId="WingdingSymbols">
    <w:name w:val="Wingding Symbols"/>
    <w:rsid w:val="001A04A7"/>
    <w:rPr>
      <w:rFonts w:ascii="Wingdings" w:hAnsi="Wingdings"/>
    </w:rPr>
  </w:style>
  <w:style w:type="paragraph" w:customStyle="1" w:styleId="TableHeading">
    <w:name w:val="Table Heading"/>
    <w:basedOn w:val="HeadingBase"/>
    <w:rsid w:val="001A04A7"/>
    <w:pPr>
      <w:keepLines/>
      <w:pBdr>
        <w:bottom w:val="single" w:sz="6" w:space="1" w:color="918585"/>
      </w:pBdr>
      <w:spacing w:before="240"/>
    </w:pPr>
  </w:style>
  <w:style w:type="character" w:customStyle="1" w:styleId="HotSpot">
    <w:name w:val="HotSpot"/>
    <w:rsid w:val="001A04A7"/>
    <w:rPr>
      <w:color w:val="0033CC"/>
      <w:u w:val="none"/>
    </w:rPr>
  </w:style>
  <w:style w:type="paragraph" w:customStyle="1" w:styleId="BodyTextRight">
    <w:name w:val="Body Text Right"/>
    <w:basedOn w:val="BodyText"/>
    <w:rsid w:val="001A04A7"/>
    <w:pPr>
      <w:spacing w:before="0" w:after="0"/>
      <w:jc w:val="right"/>
    </w:pPr>
  </w:style>
  <w:style w:type="paragraph" w:styleId="Index3">
    <w:name w:val="index 3"/>
    <w:basedOn w:val="ListNumber2"/>
    <w:next w:val="Normal"/>
    <w:semiHidden/>
    <w:rsid w:val="001A04A7"/>
    <w:pPr>
      <w:numPr>
        <w:numId w:val="0"/>
      </w:numPr>
      <w:tabs>
        <w:tab w:val="right" w:leader="dot" w:pos="4176"/>
      </w:tabs>
    </w:pPr>
  </w:style>
  <w:style w:type="paragraph" w:styleId="ListNumber2">
    <w:name w:val="List Number 2"/>
    <w:basedOn w:val="List2"/>
    <w:rsid w:val="001A04A7"/>
    <w:pPr>
      <w:numPr>
        <w:numId w:val="10"/>
      </w:numPr>
      <w:tabs>
        <w:tab w:val="clear" w:pos="1060"/>
      </w:tabs>
    </w:pPr>
  </w:style>
  <w:style w:type="paragraph" w:customStyle="1" w:styleId="MarginNote">
    <w:name w:val="Margin Note"/>
    <w:basedOn w:val="BodyText"/>
    <w:rsid w:val="001A04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4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4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4A7"/>
    <w:rPr>
      <w:sz w:val="32"/>
    </w:rPr>
  </w:style>
  <w:style w:type="paragraph" w:customStyle="1" w:styleId="HeadingProcedure">
    <w:name w:val="Heading Procedure"/>
    <w:basedOn w:val="HeadingBase"/>
    <w:next w:val="Normal"/>
    <w:rsid w:val="001A04A7"/>
    <w:pPr>
      <w:tabs>
        <w:tab w:val="left" w:pos="0"/>
      </w:tabs>
      <w:spacing w:before="120" w:after="60"/>
    </w:pPr>
    <w:rPr>
      <w:i/>
      <w:color w:val="918585"/>
      <w:sz w:val="22"/>
    </w:rPr>
  </w:style>
  <w:style w:type="paragraph" w:customStyle="1" w:styleId="TableBodyText">
    <w:name w:val="Table Body Text"/>
    <w:basedOn w:val="BodyText"/>
    <w:rsid w:val="001A04A7"/>
    <w:pPr>
      <w:spacing w:before="60" w:after="60"/>
    </w:pPr>
  </w:style>
  <w:style w:type="paragraph" w:styleId="ListContinue">
    <w:name w:val="List Continue"/>
    <w:basedOn w:val="List"/>
    <w:rsid w:val="001A04A7"/>
    <w:pPr>
      <w:ind w:firstLine="0"/>
    </w:pPr>
  </w:style>
  <w:style w:type="paragraph" w:customStyle="1" w:styleId="ListNote">
    <w:name w:val="List Note"/>
    <w:basedOn w:val="List"/>
    <w:rsid w:val="001A04A7"/>
    <w:pPr>
      <w:pBdr>
        <w:top w:val="single" w:sz="6" w:space="2" w:color="918585"/>
        <w:bottom w:val="single" w:sz="6" w:space="2" w:color="918585"/>
      </w:pBdr>
      <w:tabs>
        <w:tab w:val="left" w:pos="1021"/>
      </w:tabs>
      <w:ind w:firstLine="0"/>
    </w:pPr>
  </w:style>
  <w:style w:type="paragraph" w:customStyle="1" w:styleId="Warning">
    <w:name w:val="Warning"/>
    <w:basedOn w:val="BodyText"/>
    <w:rsid w:val="001A04A7"/>
    <w:pPr>
      <w:shd w:val="clear" w:color="auto" w:fill="D9D9D9"/>
      <w:tabs>
        <w:tab w:val="left" w:pos="992"/>
      </w:tabs>
      <w:ind w:left="119" w:right="119"/>
    </w:pPr>
    <w:rPr>
      <w:sz w:val="20"/>
    </w:rPr>
  </w:style>
  <w:style w:type="paragraph" w:customStyle="1" w:styleId="MarginIcons">
    <w:name w:val="Margin Icons"/>
    <w:basedOn w:val="BodyText"/>
    <w:rsid w:val="001A04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4A7"/>
    <w:rPr>
      <w:rFonts w:ascii="Courier New" w:hAnsi="Courier New"/>
    </w:rPr>
  </w:style>
  <w:style w:type="paragraph" w:customStyle="1" w:styleId="NoteBullet">
    <w:name w:val="Note Bullet"/>
    <w:basedOn w:val="Note"/>
    <w:rsid w:val="001A04A7"/>
    <w:pPr>
      <w:tabs>
        <w:tab w:val="clear" w:pos="680"/>
      </w:tabs>
      <w:spacing w:before="60" w:after="60"/>
    </w:pPr>
  </w:style>
  <w:style w:type="paragraph" w:customStyle="1" w:styleId="SubHeading2">
    <w:name w:val="SubHeading2"/>
    <w:basedOn w:val="HeadingBase"/>
    <w:rsid w:val="001A04A7"/>
    <w:pPr>
      <w:spacing w:before="240" w:after="60"/>
    </w:pPr>
    <w:rPr>
      <w:sz w:val="20"/>
    </w:rPr>
  </w:style>
  <w:style w:type="paragraph" w:customStyle="1" w:styleId="SubHeading1">
    <w:name w:val="SubHeading1"/>
    <w:basedOn w:val="HeadingBase"/>
    <w:rsid w:val="001A04A7"/>
    <w:pPr>
      <w:spacing w:before="240" w:after="60"/>
    </w:pPr>
    <w:rPr>
      <w:color w:val="918585"/>
      <w:sz w:val="22"/>
    </w:rPr>
  </w:style>
  <w:style w:type="paragraph" w:customStyle="1" w:styleId="SideHeading">
    <w:name w:val="Side Heading"/>
    <w:basedOn w:val="HeadingBase"/>
    <w:rsid w:val="001A04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4A7"/>
    <w:pPr>
      <w:tabs>
        <w:tab w:val="num" w:pos="360"/>
      </w:tabs>
    </w:pPr>
  </w:style>
  <w:style w:type="paragraph" w:styleId="PlainText">
    <w:name w:val="Plain Text"/>
    <w:basedOn w:val="Normal"/>
    <w:link w:val="PlainTextChar"/>
    <w:rsid w:val="001A04A7"/>
    <w:rPr>
      <w:sz w:val="20"/>
    </w:rPr>
  </w:style>
  <w:style w:type="character" w:customStyle="1" w:styleId="PlainTextChar">
    <w:name w:val="Plain Text Char"/>
    <w:basedOn w:val="DefaultParagraphFont"/>
    <w:link w:val="PlainText"/>
    <w:rsid w:val="001A04A7"/>
    <w:rPr>
      <w:rFonts w:ascii="Courier New" w:eastAsia="Times New Roman" w:hAnsi="Courier New" w:cs="Times New Roman"/>
      <w:sz w:val="20"/>
      <w:szCs w:val="20"/>
      <w:lang w:eastAsia="en-US"/>
    </w:rPr>
  </w:style>
  <w:style w:type="character" w:customStyle="1" w:styleId="MenuOption">
    <w:name w:val="Menu Option"/>
    <w:basedOn w:val="DefaultParagraphFont"/>
    <w:rsid w:val="001A04A7"/>
    <w:rPr>
      <w:b/>
      <w:smallCaps/>
    </w:rPr>
  </w:style>
  <w:style w:type="paragraph" w:customStyle="1" w:styleId="TableListNumber">
    <w:name w:val="Table List Number"/>
    <w:basedOn w:val="ListNumber"/>
    <w:rsid w:val="001A04A7"/>
    <w:pPr>
      <w:numPr>
        <w:numId w:val="0"/>
      </w:numPr>
    </w:pPr>
  </w:style>
  <w:style w:type="paragraph" w:styleId="TOC4">
    <w:name w:val="toc 4"/>
    <w:basedOn w:val="TOCBase"/>
    <w:next w:val="Normal"/>
    <w:semiHidden/>
    <w:rsid w:val="001A04A7"/>
    <w:pPr>
      <w:tabs>
        <w:tab w:val="right" w:leader="dot" w:pos="9071"/>
      </w:tabs>
      <w:ind w:left="1701"/>
    </w:pPr>
  </w:style>
  <w:style w:type="paragraph" w:customStyle="1" w:styleId="ListAlpha">
    <w:name w:val="List Alpha"/>
    <w:basedOn w:val="List"/>
    <w:rsid w:val="001A04A7"/>
    <w:pPr>
      <w:numPr>
        <w:numId w:val="9"/>
      </w:numPr>
    </w:pPr>
  </w:style>
  <w:style w:type="paragraph" w:customStyle="1" w:styleId="ListAlpha2">
    <w:name w:val="List Alpha 2"/>
    <w:basedOn w:val="List2"/>
    <w:rsid w:val="001A04A7"/>
    <w:pPr>
      <w:numPr>
        <w:numId w:val="8"/>
      </w:numPr>
    </w:pPr>
  </w:style>
  <w:style w:type="paragraph" w:styleId="List2">
    <w:name w:val="List 2"/>
    <w:basedOn w:val="BodyText"/>
    <w:rsid w:val="001A04A7"/>
    <w:pPr>
      <w:tabs>
        <w:tab w:val="left" w:pos="680"/>
      </w:tabs>
      <w:spacing w:before="60" w:after="60"/>
      <w:ind w:left="680" w:hanging="340"/>
    </w:pPr>
  </w:style>
  <w:style w:type="paragraph" w:styleId="List3">
    <w:name w:val="List 3"/>
    <w:basedOn w:val="BodyText"/>
    <w:rsid w:val="001A04A7"/>
    <w:pPr>
      <w:tabs>
        <w:tab w:val="left" w:pos="1021"/>
      </w:tabs>
      <w:spacing w:before="60" w:after="60"/>
      <w:ind w:left="1020" w:hanging="340"/>
    </w:pPr>
  </w:style>
  <w:style w:type="paragraph" w:styleId="List4">
    <w:name w:val="List 4"/>
    <w:basedOn w:val="BodyText"/>
    <w:rsid w:val="001A04A7"/>
    <w:pPr>
      <w:tabs>
        <w:tab w:val="left" w:pos="1361"/>
      </w:tabs>
      <w:spacing w:before="60" w:after="60"/>
      <w:ind w:left="1361" w:hanging="340"/>
    </w:pPr>
  </w:style>
  <w:style w:type="paragraph" w:styleId="List5">
    <w:name w:val="List 5"/>
    <w:basedOn w:val="BodyText"/>
    <w:rsid w:val="001A04A7"/>
    <w:pPr>
      <w:tabs>
        <w:tab w:val="left" w:pos="1701"/>
      </w:tabs>
      <w:spacing w:before="60" w:after="60"/>
      <w:ind w:left="1701" w:hanging="340"/>
    </w:pPr>
  </w:style>
  <w:style w:type="paragraph" w:styleId="ListBullet3">
    <w:name w:val="List Bullet 3"/>
    <w:basedOn w:val="List3"/>
    <w:rsid w:val="001A04A7"/>
    <w:pPr>
      <w:numPr>
        <w:numId w:val="14"/>
      </w:numPr>
      <w:tabs>
        <w:tab w:val="clear" w:pos="1021"/>
      </w:tabs>
      <w:ind w:left="1037" w:hanging="357"/>
    </w:pPr>
  </w:style>
  <w:style w:type="paragraph" w:styleId="ListBullet4">
    <w:name w:val="List Bullet 4"/>
    <w:basedOn w:val="List4"/>
    <w:rsid w:val="001A04A7"/>
    <w:pPr>
      <w:numPr>
        <w:numId w:val="3"/>
      </w:numPr>
      <w:tabs>
        <w:tab w:val="clear" w:pos="1361"/>
      </w:tabs>
    </w:pPr>
  </w:style>
  <w:style w:type="paragraph" w:styleId="ListBullet5">
    <w:name w:val="List Bullet 5"/>
    <w:basedOn w:val="List5"/>
    <w:rsid w:val="001A04A7"/>
    <w:pPr>
      <w:numPr>
        <w:numId w:val="4"/>
      </w:numPr>
    </w:pPr>
  </w:style>
  <w:style w:type="paragraph" w:styleId="ListContinue2">
    <w:name w:val="List Continue 2"/>
    <w:basedOn w:val="List2"/>
    <w:rsid w:val="001A04A7"/>
    <w:pPr>
      <w:ind w:firstLine="0"/>
    </w:pPr>
  </w:style>
  <w:style w:type="paragraph" w:styleId="ListContinue3">
    <w:name w:val="List Continue 3"/>
    <w:basedOn w:val="List3"/>
    <w:rsid w:val="001A04A7"/>
    <w:pPr>
      <w:ind w:left="1021" w:firstLine="0"/>
    </w:pPr>
  </w:style>
  <w:style w:type="paragraph" w:styleId="ListContinue4">
    <w:name w:val="List Continue 4"/>
    <w:basedOn w:val="List4"/>
    <w:rsid w:val="001A04A7"/>
    <w:pPr>
      <w:ind w:firstLine="0"/>
    </w:pPr>
  </w:style>
  <w:style w:type="paragraph" w:styleId="ListContinue5">
    <w:name w:val="List Continue 5"/>
    <w:basedOn w:val="List5"/>
    <w:rsid w:val="001A04A7"/>
    <w:pPr>
      <w:ind w:firstLine="0"/>
    </w:pPr>
  </w:style>
  <w:style w:type="paragraph" w:styleId="ListNumber3">
    <w:name w:val="List Number 3"/>
    <w:basedOn w:val="List3"/>
    <w:rsid w:val="001A04A7"/>
    <w:pPr>
      <w:numPr>
        <w:numId w:val="5"/>
      </w:numPr>
    </w:pPr>
  </w:style>
  <w:style w:type="paragraph" w:styleId="ListNumber4">
    <w:name w:val="List Number 4"/>
    <w:basedOn w:val="List4"/>
    <w:rsid w:val="001A04A7"/>
    <w:pPr>
      <w:numPr>
        <w:numId w:val="6"/>
      </w:numPr>
    </w:pPr>
  </w:style>
  <w:style w:type="paragraph" w:styleId="ListNumber5">
    <w:name w:val="List Number 5"/>
    <w:basedOn w:val="List5"/>
    <w:rsid w:val="001A04A7"/>
    <w:pPr>
      <w:numPr>
        <w:numId w:val="7"/>
      </w:numPr>
    </w:pPr>
  </w:style>
  <w:style w:type="paragraph" w:styleId="BlockText">
    <w:name w:val="Block Text"/>
    <w:basedOn w:val="Normal"/>
    <w:rsid w:val="001A04A7"/>
    <w:pPr>
      <w:spacing w:after="120"/>
      <w:ind w:left="1440" w:right="1440"/>
    </w:pPr>
  </w:style>
  <w:style w:type="character" w:customStyle="1" w:styleId="Subscript">
    <w:name w:val="Subscript"/>
    <w:basedOn w:val="DefaultParagraphFont"/>
    <w:rsid w:val="001A04A7"/>
    <w:rPr>
      <w:sz w:val="16"/>
      <w:vertAlign w:val="subscript"/>
    </w:rPr>
  </w:style>
  <w:style w:type="character" w:customStyle="1" w:styleId="Superscript">
    <w:name w:val="Superscript"/>
    <w:basedOn w:val="DefaultParagraphFont"/>
    <w:rsid w:val="001A04A7"/>
    <w:rPr>
      <w:sz w:val="16"/>
      <w:vertAlign w:val="superscript"/>
    </w:rPr>
  </w:style>
  <w:style w:type="character" w:customStyle="1" w:styleId="Symbols">
    <w:name w:val="Symbols"/>
    <w:basedOn w:val="DefaultParagraphFont"/>
    <w:rsid w:val="001A04A7"/>
    <w:rPr>
      <w:rFonts w:ascii="Symbol" w:hAnsi="Symbol"/>
    </w:rPr>
  </w:style>
  <w:style w:type="character" w:customStyle="1" w:styleId="MenuOptions">
    <w:name w:val="Menu Options"/>
    <w:basedOn w:val="DefaultParagraphFont"/>
    <w:rsid w:val="001A04A7"/>
    <w:rPr>
      <w:rFonts w:ascii="Arial Narrow" w:hAnsi="Arial Narrow"/>
      <w:smallCaps/>
    </w:rPr>
  </w:style>
  <w:style w:type="character" w:customStyle="1" w:styleId="Buttons">
    <w:name w:val="Buttons"/>
    <w:basedOn w:val="DefaultParagraphFont"/>
    <w:rsid w:val="001A04A7"/>
    <w:rPr>
      <w:b/>
    </w:rPr>
  </w:style>
  <w:style w:type="character" w:customStyle="1" w:styleId="Underlined">
    <w:name w:val="Underlined"/>
    <w:basedOn w:val="DefaultParagraphFont"/>
    <w:rsid w:val="001A04A7"/>
    <w:rPr>
      <w:u w:val="single"/>
    </w:rPr>
  </w:style>
  <w:style w:type="paragraph" w:customStyle="1" w:styleId="TableBodyTextRight">
    <w:name w:val="Table Body Text Right"/>
    <w:basedOn w:val="TableBodyText"/>
    <w:rsid w:val="001A04A7"/>
    <w:pPr>
      <w:widowControl w:val="0"/>
      <w:autoSpaceDE w:val="0"/>
      <w:autoSpaceDN w:val="0"/>
      <w:adjustRightInd w:val="0"/>
      <w:jc w:val="right"/>
    </w:pPr>
    <w:rPr>
      <w:rFonts w:cs="Arial"/>
      <w:szCs w:val="18"/>
    </w:rPr>
  </w:style>
  <w:style w:type="paragraph" w:customStyle="1" w:styleId="CopyrightText">
    <w:name w:val="Copyright Text"/>
    <w:basedOn w:val="BodyText"/>
    <w:rsid w:val="001A04A7"/>
    <w:rPr>
      <w:sz w:val="18"/>
    </w:rPr>
  </w:style>
  <w:style w:type="paragraph" w:customStyle="1" w:styleId="BodySmallRight">
    <w:name w:val="Body Small Right"/>
    <w:basedOn w:val="BodyTextRight"/>
    <w:rsid w:val="001A04A7"/>
    <w:rPr>
      <w:sz w:val="18"/>
      <w:szCs w:val="18"/>
    </w:rPr>
  </w:style>
  <w:style w:type="paragraph" w:customStyle="1" w:styleId="MarginEdition">
    <w:name w:val="Margin Edition"/>
    <w:basedOn w:val="MarginNote"/>
    <w:rsid w:val="001A04A7"/>
    <w:pPr>
      <w:spacing w:before="0" w:after="0"/>
    </w:pPr>
    <w:rPr>
      <w:rFonts w:ascii="Times New Roman" w:hAnsi="Times New Roman"/>
      <w:color w:val="999999"/>
    </w:rPr>
  </w:style>
  <w:style w:type="paragraph" w:customStyle="1" w:styleId="Spacer">
    <w:name w:val="Spacer"/>
    <w:basedOn w:val="Normal"/>
    <w:rsid w:val="001A04A7"/>
    <w:rPr>
      <w:sz w:val="2"/>
      <w:szCs w:val="2"/>
    </w:rPr>
  </w:style>
  <w:style w:type="character" w:customStyle="1" w:styleId="Small">
    <w:name w:val="Small"/>
    <w:basedOn w:val="DefaultParagraphFont"/>
    <w:rsid w:val="001A04A7"/>
    <w:rPr>
      <w:sz w:val="16"/>
    </w:rPr>
  </w:style>
  <w:style w:type="paragraph" w:customStyle="1" w:styleId="WideTable">
    <w:name w:val="Wide Table"/>
    <w:basedOn w:val="Normal"/>
    <w:rsid w:val="001A04A7"/>
    <w:pPr>
      <w:ind w:left="-1418"/>
    </w:pPr>
    <w:rPr>
      <w:sz w:val="2"/>
      <w:szCs w:val="2"/>
    </w:rPr>
  </w:style>
  <w:style w:type="character" w:styleId="PageNumber">
    <w:name w:val="page number"/>
    <w:basedOn w:val="DefaultParagraphFont"/>
    <w:rsid w:val="001A04A7"/>
  </w:style>
  <w:style w:type="paragraph" w:styleId="Quote">
    <w:name w:val="Quote"/>
    <w:basedOn w:val="Heading1"/>
    <w:link w:val="QuoteChar"/>
    <w:qFormat/>
    <w:rsid w:val="001A04A7"/>
    <w:rPr>
      <w:b w:val="0"/>
      <w:sz w:val="72"/>
      <w:szCs w:val="72"/>
      <w:lang w:val="en-NZ"/>
    </w:rPr>
  </w:style>
  <w:style w:type="character" w:customStyle="1" w:styleId="QuoteChar">
    <w:name w:val="Quote Char"/>
    <w:basedOn w:val="DefaultParagraphFont"/>
    <w:link w:val="Quote"/>
    <w:rsid w:val="001A04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4A7"/>
    <w:pPr>
      <w:pageBreakBefore/>
    </w:pPr>
  </w:style>
  <w:style w:type="paragraph" w:customStyle="1" w:styleId="Border">
    <w:name w:val="Border"/>
    <w:basedOn w:val="Normal"/>
    <w:qFormat/>
    <w:rsid w:val="001A04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4A7"/>
    <w:rPr>
      <w:b/>
      <w:bCs/>
      <w:i/>
      <w:iCs/>
      <w:color w:val="auto"/>
    </w:rPr>
  </w:style>
  <w:style w:type="paragraph" w:styleId="IntenseQuote">
    <w:name w:val="Intense Quote"/>
    <w:basedOn w:val="Normal"/>
    <w:next w:val="Normal"/>
    <w:link w:val="IntenseQuoteChar"/>
    <w:uiPriority w:val="30"/>
    <w:qFormat/>
    <w:rsid w:val="001A04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4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4A7"/>
    <w:rPr>
      <w:smallCaps/>
      <w:color w:val="auto"/>
      <w:u w:val="single"/>
    </w:rPr>
  </w:style>
  <w:style w:type="character" w:styleId="IntenseReference">
    <w:name w:val="Intense Reference"/>
    <w:basedOn w:val="DefaultParagraphFont"/>
    <w:uiPriority w:val="32"/>
    <w:qFormat/>
    <w:rsid w:val="001A04A7"/>
    <w:rPr>
      <w:b/>
      <w:bCs/>
      <w:smallCaps/>
      <w:color w:val="auto"/>
      <w:spacing w:val="5"/>
      <w:u w:val="single"/>
    </w:rPr>
  </w:style>
  <w:style w:type="paragraph" w:customStyle="1" w:styleId="2ColumnHeading">
    <w:name w:val="2Column Heading"/>
    <w:basedOn w:val="BodyText"/>
    <w:qFormat/>
    <w:rsid w:val="001A04A7"/>
    <w:pPr>
      <w:spacing w:after="60"/>
      <w:ind w:left="-2268"/>
    </w:pPr>
    <w:rPr>
      <w:b/>
    </w:rPr>
  </w:style>
  <w:style w:type="paragraph" w:customStyle="1" w:styleId="Heading1TOC">
    <w:name w:val="Heading1 TOC"/>
    <w:basedOn w:val="Normal"/>
    <w:qFormat/>
    <w:rsid w:val="001A04A7"/>
    <w:pPr>
      <w:spacing w:before="240" w:after="120"/>
    </w:pPr>
    <w:rPr>
      <w:rFonts w:ascii="Times New Roman" w:hAnsi="Times New Roman"/>
      <w:b/>
      <w:sz w:val="32"/>
    </w:rPr>
  </w:style>
  <w:style w:type="paragraph" w:customStyle="1" w:styleId="Heading2TOC">
    <w:name w:val="Heading2 TOC"/>
    <w:basedOn w:val="Normal"/>
    <w:qFormat/>
    <w:rsid w:val="001A04A7"/>
    <w:pPr>
      <w:spacing w:before="240" w:after="60"/>
    </w:pPr>
    <w:rPr>
      <w:rFonts w:ascii="Times New Roman" w:hAnsi="Times New Roman"/>
      <w:b/>
      <w:sz w:val="28"/>
    </w:rPr>
  </w:style>
  <w:style w:type="character" w:customStyle="1" w:styleId="Underline">
    <w:name w:val="Underline"/>
    <w:basedOn w:val="DefaultParagraphFont"/>
    <w:qFormat/>
    <w:rsid w:val="001A04A7"/>
    <w:rPr>
      <w:u w:val="single"/>
    </w:rPr>
  </w:style>
  <w:style w:type="character" w:customStyle="1" w:styleId="BoldandItalics">
    <w:name w:val="Bold and Italics"/>
    <w:qFormat/>
    <w:rsid w:val="001A04A7"/>
    <w:rPr>
      <w:b/>
      <w:i/>
      <w:u w:val="none"/>
    </w:rPr>
  </w:style>
  <w:style w:type="paragraph" w:styleId="BalloonText">
    <w:name w:val="Balloon Text"/>
    <w:basedOn w:val="Normal"/>
    <w:link w:val="BalloonTextChar"/>
    <w:rsid w:val="001A04A7"/>
    <w:rPr>
      <w:rFonts w:ascii="Tahoma" w:hAnsi="Tahoma" w:cs="Tahoma"/>
      <w:sz w:val="16"/>
      <w:szCs w:val="16"/>
    </w:rPr>
  </w:style>
  <w:style w:type="character" w:customStyle="1" w:styleId="BalloonTextChar">
    <w:name w:val="Balloon Text Char"/>
    <w:basedOn w:val="DefaultParagraphFont"/>
    <w:link w:val="BalloonText"/>
    <w:rsid w:val="001A04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4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04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4A7"/>
    <w:rPr>
      <w:b/>
      <w:color w:val="660033"/>
      <w:spacing w:val="0"/>
    </w:rPr>
  </w:style>
  <w:style w:type="paragraph" w:customStyle="1" w:styleId="Nameditemlist">
    <w:name w:val="Named item list"/>
    <w:basedOn w:val="BodyText"/>
    <w:qFormat/>
    <w:rsid w:val="001A04A7"/>
    <w:pPr>
      <w:tabs>
        <w:tab w:val="left" w:pos="2835"/>
      </w:tabs>
      <w:ind w:left="2835" w:hanging="2835"/>
    </w:pPr>
  </w:style>
  <w:style w:type="paragraph" w:customStyle="1" w:styleId="BodyTextnopadding">
    <w:name w:val="Body Text no padding"/>
    <w:basedOn w:val="BodyText"/>
    <w:qFormat/>
    <w:rsid w:val="001A04A7"/>
    <w:pPr>
      <w:spacing w:before="0" w:after="0"/>
    </w:pPr>
  </w:style>
  <w:style w:type="paragraph" w:customStyle="1" w:styleId="BodyTextBold">
    <w:name w:val="Body Text Bold"/>
    <w:basedOn w:val="BodyText"/>
    <w:qFormat/>
    <w:rsid w:val="001A04A7"/>
    <w:rPr>
      <w:b/>
    </w:rPr>
  </w:style>
  <w:style w:type="character" w:styleId="Hyperlink">
    <w:name w:val="Hyperlink"/>
    <w:basedOn w:val="DefaultParagraphFont"/>
    <w:uiPriority w:val="99"/>
    <w:unhideWhenUsed/>
    <w:rsid w:val="005507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5094</Characters>
  <Application>Microsoft Office Word</Application>
  <DocSecurity>0</DocSecurity>
  <Lines>110</Lines>
  <Paragraphs>76</Paragraphs>
  <ScaleCrop>false</ScaleCrop>
  <Company>Author-it Software Corporation Ltd.</Company>
  <LinksUpToDate>false</LinksUpToDate>
  <CharactersWithSpaces>5812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UEEEL0010 Evaluate and modify low voltage socket outlets circuits</dc:title>
  <dc:subject>Approved</dc:subject>
  <dc:creator>Powering Skills Organisation</dc:creator>
  <cp:keywords>Release: 2</cp:keywords>
  <dc:description>Review Date: 12 April 2008</dc:description>
  <cp:lastModifiedBy>HSD_TPCMSd.prod</cp:lastModifiedBy>
  <cp:revision>3</cp:revision>
  <dcterms:created xsi:type="dcterms:W3CDTF">2024-11-29T00:31:00Z</dcterms:created>
  <dcterms:modified xsi:type="dcterms:W3CDTF">2024-11-29T00:31:00Z</dcterms:modified>
</cp:coreProperties>
</file>