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03A" w:rsidP="0003003A">
      <w:pPr>
        <w:pStyle w:val="Title"/>
      </w:pPr>
      <w:r>
        <w:fldChar w:fldCharType="begin"/>
      </w:r>
      <w:r>
        <w:instrText xml:space="preserve"> TITLE   \* MERGEFORMAT </w:instrText>
      </w:r>
      <w:r>
        <w:fldChar w:fldCharType="separate"/>
      </w:r>
      <w:r>
        <w:t>UEEEC0070 Troubleshoot faults in television receivers</w:t>
      </w:r>
      <w:r>
        <w:fldChar w:fldCharType="end"/>
      </w:r>
    </w:p>
    <w:p w:rsidR="0003003A" w:rsidP="0003003A">
      <w:pPr>
        <w:pStyle w:val="Version"/>
        <w:sectPr w:rsidSect="004F35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5DF" w:rsidP="004F35DF">
      <w:pPr>
        <w:pStyle w:val="SuperHeading"/>
      </w:pPr>
      <w:r w:rsidRPr="004F35DF">
        <w:t>UEEEC0070 Troubleshoot faults in television receivers</w:t>
      </w:r>
    </w:p>
    <w:p w:rsidR="00000000" w:rsidRPr="004F35DF" w:rsidP="004F35DF">
      <w:pPr>
        <w:pStyle w:val="Heading1"/>
      </w:pPr>
      <w:bookmarkStart w:id="1" w:name="O_1081091"/>
      <w:bookmarkEnd w:id="1"/>
      <w:r w:rsidRPr="004F35DF">
        <w:t>Modification History</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Release 1. This is the first release of this unit of competency in the UEE Electrotechnology Training Package.</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2" w:name="O_1081092"/>
      <w:bookmarkEnd w:id="2"/>
      <w:r w:rsidRPr="004F35DF">
        <w:t>Application</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This unit involves the skills and knowledge required to fault find and re</w:t>
            </w:r>
            <w:r w:rsidRPr="004F35DF">
              <w:t>pair of faults in signal processing and scanning and deflection sections of television receivers.</w:t>
            </w:r>
          </w:p>
          <w:p w:rsidR="00000000" w:rsidRPr="004F35DF" w:rsidP="004F35DF">
            <w:pPr>
              <w:pStyle w:val="BodyText"/>
            </w:pPr>
            <w:r w:rsidRPr="004F35DF">
              <w:t>It includes working safely, applying logical fault-finding workplace procedures, conducting repairs, safety and functional testing, and completing the necessa</w:t>
            </w:r>
            <w:r w:rsidRPr="004F35DF">
              <w:t>ry service documentation.</w:t>
            </w:r>
          </w:p>
          <w:p w:rsidR="00000000" w:rsidRPr="004F35DF" w:rsidP="004F35DF">
            <w:pPr>
              <w:pStyle w:val="BodyText"/>
            </w:pPr>
            <w:r w:rsidRPr="004F35DF">
              <w:t>No licensing, legislative or certification requirements apply to this unit at the time of publication.</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3" w:name="O_1081093"/>
      <w:bookmarkEnd w:id="3"/>
      <w:r w:rsidRPr="004F35DF">
        <w:t>Pre-requisite Unit</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UEEEC0058 Repair predictable faults in television receivers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4" w:name="O_1081094"/>
      <w:bookmarkEnd w:id="4"/>
      <w:r w:rsidRPr="004F35DF">
        <w:t>Compet</w:t>
      </w:r>
      <w:r w:rsidRPr="004F35DF">
        <w:t>ency Field</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Electronics and Communications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5" w:name="O_1081095"/>
      <w:bookmarkEnd w:id="5"/>
      <w:r w:rsidRPr="004F35DF">
        <w:t>Unit Sector</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Electrotechnology</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6" w:name="O_1081096"/>
      <w:bookmarkEnd w:id="6"/>
      <w:r w:rsidRPr="004F35D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F35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PERFORMANCE CRITERIA</w:t>
            </w:r>
          </w:p>
        </w:tc>
      </w:tr>
      <w:tr w:rsidTr="004F35D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Performance criteria describe the performance needed to demonstrate achievement of the element.</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Prepare to identify television receiver faults</w:t>
            </w: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Work health and safety (WHS)/occupational health and safety (OHS) requirements and workplace procedures for a given work area are identified and applied</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WHS/OHS risk control measures and workplace procedures are followed in preparation for work acti</w:t>
            </w:r>
            <w:r w:rsidRPr="004F35DF">
              <w:t>vity</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Nature of the television receiver fault is obtained from documentation or from work supervisor to determine the scope of work to be undertaken</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Advice is sought from work supervisor to ensure the work is coordinated effectively with relevant person/s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Materials required for the work are determined in accordance with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Tools, equipment and testing devices needed to c</w:t>
            </w:r>
            <w:r w:rsidRPr="004F35DF">
              <w:t>arry out work are obtained in accordance with workplace procedures and checked for correct operation and safety</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Find television receiver faults</w:t>
            </w: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WHS/OHS risk control measures and workplace procedures for carrying out work activities are followed</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Need to inspect, test and measure live work is determined in accordance with WHS/OHS requirements and, as required, conducted in accordance with workplace safety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Apparatus is checked and isolated in accordance with WHS/OHS requirement</w:t>
            </w:r>
            <w:r w:rsidRPr="004F35DF">
              <w:t>s and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 xml:space="preserve">Fault finding is approached methodically, using measured and calculated values of apparatus parameters, chrominance and luminance signal processing and scanning and deflection sections of television receivers </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Appar</w:t>
            </w:r>
            <w:r w:rsidRPr="004F35DF">
              <w:t>atus components are dismantled, as required, and parts stored to protect against loss or damage</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Faulty components are identified, rechecked and fault status confirmed</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Materials/replacement parts required to rectify faults are sourced and obtained in accordance with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Effectiveness of the repair is tested in accordance with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Apparatus is reassembled, finally tested and</w:t>
            </w:r>
            <w:r w:rsidRPr="004F35DF">
              <w:t xml:space="preserve"> prepared for return to service</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Unplanned situations are dealt with safely and with the approval of an authorised person/s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Fault-finding activities are carried out efficiently without waste of materials or damage to apparatus, the surrounding environment or services using sustainable energy practices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Repair television receiver fault</w:t>
            </w: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WHS/OHS risk control measures and wor</w:t>
            </w:r>
            <w:r w:rsidRPr="004F35DF">
              <w:t>kplace procedures for carrying out repair work are followed</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Apparatus is checked and isolated in accordance with WHS/OHS requirements and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Materials required for repair work are sourced and obtained in accordance with work</w:t>
            </w:r>
            <w:r w:rsidRPr="004F35DF">
              <w:t>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Repairs are affected efficiently without damage to other components, apparatus or circuits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Effectiveness of the repair is inspected and tested in accordance with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Apparatus is reassembled, inspected and final functional test completed in preparation for return to customer</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rPr>
                <w:rStyle w:val="SpecialBold"/>
              </w:rPr>
              <w:t>Complete and report television receiver fault</w:t>
            </w:r>
            <w:r w:rsidRPr="004F35DF">
              <w:t>-</w:t>
            </w:r>
            <w:r w:rsidRPr="004F35DF">
              <w:rPr>
                <w:rStyle w:val="SpecialBold"/>
              </w:rPr>
              <w:t>finding and repair activities</w:t>
            </w: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WHS/OHS work completion risk control measures and workplace pro</w:t>
            </w:r>
            <w:r w:rsidRPr="004F35DF">
              <w:t>cedures are followed</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Work area is cleaned and made safe in accordance with workplace procedures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Written justification is recorded for television receiver repairs to apparatus</w:t>
            </w:r>
          </w:p>
        </w:tc>
      </w:tr>
      <w:tr w:rsidTr="004F35D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F35D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Work completion is documented and appropriate person/s notified in accordance with workplace procedures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7" w:name="O_1081097"/>
      <w:bookmarkEnd w:id="7"/>
      <w:r w:rsidRPr="004F35DF">
        <w:t>Foundation Skills</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Foundation skills essential to performance are explicit in the performance criteria of this unit of competency.</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8" w:name="O_1081098"/>
      <w:bookmarkEnd w:id="8"/>
      <w:r w:rsidRPr="004F35DF">
        <w:t>Range of Conditions</w:t>
      </w:r>
    </w:p>
    <w:tbl>
      <w:tblPr>
        <w:tblW w:w="9497" w:type="dxa"/>
        <w:tblLayout w:type="fixed"/>
        <w:tblCellMar>
          <w:left w:w="62" w:type="dxa"/>
          <w:right w:w="62" w:type="dxa"/>
        </w:tblCellMar>
        <w:tblLook w:val="0000"/>
      </w:tblPr>
      <w:tblGrid>
        <w:gridCol w:w="4693"/>
        <w:gridCol w:w="4804"/>
      </w:tblGrid>
      <w:tr w:rsidTr="004F35D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Range is restricted to essential operating conditions and any other variables essential to the work environment.</w:t>
            </w:r>
          </w:p>
          <w:p w:rsidR="00000000" w:rsidP="004F35DF">
            <w:pPr>
              <w:pStyle w:val="BodyText"/>
              <w:rPr>
                <w:lang w:val="en-NZ"/>
              </w:rPr>
            </w:pPr>
            <w:r w:rsidRPr="004F35DF">
              <w:t>Non-essential conditions may be found in the UEE Electrotechnology Training Package Companion Volume Im</w:t>
            </w:r>
            <w:r w:rsidRPr="004F35DF">
              <w:t>plementation Guide.</w:t>
            </w:r>
          </w:p>
        </w:tc>
      </w:tr>
      <w:tr w:rsidTr="004F35D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Troubleshooting faults in television receivers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4F35DF" w:rsidP="004F35DF">
            <w:pPr>
              <w:pStyle w:val="ListBullet"/>
            </w:pPr>
            <w:r w:rsidRPr="004F35DF">
              <w:t>two television receiver faults in signal processing and scanning and deflection sections of television receivers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9" w:name="O_1081099"/>
      <w:bookmarkEnd w:id="9"/>
      <w:r w:rsidRPr="004F35DF">
        <w:t>Unit Mapping Information</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This unit replaces and is equivalent to UEENEEH171A Troubleshoot faults in television receivers.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10" w:name="O_1081106"/>
      <w:bookmarkEnd w:id="10"/>
      <w:r w:rsidRPr="004F35DF">
        <w:t>Links</w:t>
      </w:r>
    </w:p>
    <w:p w:rsidR="00000000" w:rsidRPr="004F35DF" w:rsidP="0003003A">
      <w:pPr>
        <w:pStyle w:val="BodyText"/>
      </w:pPr>
      <w:r w:rsidRPr="004F35D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735F">
        <w:rPr>
          <w:rStyle w:val="Hyperlink"/>
        </w:rPr>
        <w:t>https://vetnet.gov.au/Pages/TrainingDocs.aspx?q=b8a8f136-5421-4ce1-92e0-2b50341431b6</w:t>
      </w:r>
      <w:r>
        <w:fldChar w:fldCharType="end"/>
      </w:r>
    </w:p>
    <w:p w:rsidR="00000000" w:rsidRPr="004F35DF" w:rsidP="0003003A">
      <w:pPr>
        <w:pStyle w:val="BodyText"/>
        <w:sectPr w:rsidSect="004F35DF">
          <w:headerReference w:type="default" r:id="rId10"/>
          <w:footerReference w:type="default" r:id="rId11"/>
          <w:pgSz w:w="11908" w:h="16833"/>
          <w:pgMar w:top="1702" w:right="1418" w:bottom="1702" w:left="1418" w:header="992" w:footer="992" w:gutter="0"/>
          <w:cols w:space="720"/>
          <w:noEndnote/>
          <w:docGrid w:linePitch="299"/>
        </w:sectPr>
      </w:pPr>
    </w:p>
    <w:p w:rsidR="00000000" w:rsidRPr="004F35DF" w:rsidP="004F35DF">
      <w:pPr>
        <w:pStyle w:val="SuperHeading"/>
      </w:pPr>
      <w:r w:rsidRPr="004F35DF">
        <w:t xml:space="preserve">Assessment </w:t>
      </w:r>
      <w:r w:rsidRPr="004F35DF">
        <w:t>Requirements for UEEEC0070 Troubleshoot faults in television receivers</w:t>
      </w:r>
    </w:p>
    <w:p w:rsidR="00000000" w:rsidRPr="004F35DF" w:rsidP="004F35DF">
      <w:pPr>
        <w:pStyle w:val="Heading1"/>
      </w:pPr>
      <w:bookmarkStart w:id="11" w:name="O_1081101"/>
      <w:bookmarkEnd w:id="11"/>
      <w:r w:rsidRPr="004F35DF">
        <w:t>Modification History</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Release 1. This is the first release of this unit of competency in the UEE Electrotechnology Training Package.</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12" w:name="O_1081102"/>
      <w:bookmarkEnd w:id="12"/>
      <w:r w:rsidRPr="004F35DF">
        <w:t>Performance Ev</w:t>
      </w:r>
      <w:r w:rsidRPr="004F35DF">
        <w:t>idence</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 xml:space="preserve">Evidence required to demonstrate competence in this unit must be relevant to and satisfy all of the requirements of the elements, performance criteria and range of conditions on at least two separate occasions and include: </w:t>
            </w:r>
          </w:p>
        </w:tc>
      </w:tr>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ListBullet"/>
            </w:pPr>
            <w:r w:rsidRPr="004F35DF">
              <w:t>applying sustainable en</w:t>
            </w:r>
            <w:r w:rsidRPr="004F35DF">
              <w:t>ergy principles and practices</w:t>
            </w:r>
          </w:p>
          <w:p w:rsidR="00000000" w:rsidRPr="004F35DF" w:rsidP="004F35DF">
            <w:pPr>
              <w:pStyle w:val="ListBullet"/>
            </w:pPr>
            <w:r w:rsidRPr="004F35DF">
              <w:t>completing and reporting television receiver fault-finding and repair activities</w:t>
            </w:r>
          </w:p>
          <w:p w:rsidR="00000000" w:rsidRPr="004F35DF" w:rsidP="004F35DF">
            <w:pPr>
              <w:pStyle w:val="ListBullet"/>
            </w:pPr>
            <w:r w:rsidRPr="004F35DF">
              <w:t>dealing with unplanned situations in accordance with workplace procedures in a manner that minimises risk to personnel and equipment</w:t>
            </w:r>
          </w:p>
          <w:p w:rsidR="00000000" w:rsidRPr="004F35DF" w:rsidP="004F35DF">
            <w:pPr>
              <w:pStyle w:val="ListBullet"/>
            </w:pPr>
            <w:r w:rsidRPr="004F35DF">
              <w:t>finding and repairing faults in television receiver</w:t>
            </w:r>
          </w:p>
          <w:p w:rsidR="00000000" w:rsidRPr="004F35DF" w:rsidP="004F35DF">
            <w:pPr>
              <w:pStyle w:val="ListBullet"/>
            </w:pPr>
            <w:r w:rsidRPr="004F35DF">
              <w:t>finding television receiver faults efficiently</w:t>
            </w:r>
          </w:p>
          <w:p w:rsidR="00000000" w:rsidRPr="004F35DF" w:rsidP="004F35DF">
            <w:pPr>
              <w:pStyle w:val="ListBullet"/>
            </w:pPr>
            <w:r w:rsidRPr="004F35DF">
              <w:t>implementing relevant work health and safety (WHS)/occupational health and safety (OHS) requirements, workplace procedures and practices, including the use o</w:t>
            </w:r>
            <w:r w:rsidRPr="004F35DF">
              <w:t>f risk control measures</w:t>
            </w:r>
          </w:p>
          <w:p w:rsidR="00000000" w:rsidRPr="004F35DF" w:rsidP="004F35DF">
            <w:pPr>
              <w:pStyle w:val="ListBullet"/>
            </w:pPr>
            <w:r w:rsidRPr="004F35DF">
              <w:t>providing written justification for television receiver repairs</w:t>
            </w:r>
          </w:p>
          <w:p w:rsidR="00000000" w:rsidRPr="004F35DF" w:rsidP="004F35DF">
            <w:pPr>
              <w:pStyle w:val="ListBullet"/>
            </w:pPr>
            <w:r w:rsidRPr="004F35DF">
              <w:t>replacing television receiver components without damage</w:t>
            </w:r>
          </w:p>
          <w:p w:rsidR="00000000" w:rsidRPr="004F35DF" w:rsidP="004F35DF">
            <w:pPr>
              <w:pStyle w:val="ListBullet"/>
            </w:pPr>
            <w:r w:rsidRPr="004F35DF">
              <w:t>using methodical television receiver fault-finding techniques.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13" w:name="O_1081103"/>
      <w:bookmarkEnd w:id="13"/>
      <w:r w:rsidRPr="004F35DF">
        <w:t>Knowledge Evidence</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35DF">
            <w:pPr>
              <w:pStyle w:val="BodyText"/>
              <w:rPr>
                <w:lang w:val="en-NZ"/>
              </w:rPr>
            </w:pPr>
            <w:r w:rsidRPr="004F35DF">
              <w:t xml:space="preserve">Evidence </w:t>
            </w:r>
            <w:r w:rsidRPr="004F35DF">
              <w:t xml:space="preserve">required to demonstrate competence in this unit must be relevant to and satisfy all of the requirements of the elements, performance criteria and range of conditions and include knowledge of: </w:t>
            </w:r>
          </w:p>
        </w:tc>
      </w:tr>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ListBullet"/>
            </w:pPr>
            <w:r w:rsidRPr="004F35DF">
              <w:t>automatic gain control (AGC) circuits in typical television receivers, including operation and fault-finding techniques</w:t>
            </w:r>
          </w:p>
          <w:p w:rsidR="00000000" w:rsidRPr="004F35DF" w:rsidP="004F35DF">
            <w:pPr>
              <w:pStyle w:val="ListBullet"/>
            </w:pPr>
            <w:r w:rsidRPr="004F35DF">
              <w:t>components providing radio frequency (RF) interference suppression protection, rectification and filtering in a typical television recei</w:t>
            </w:r>
            <w:r w:rsidRPr="004F35DF">
              <w:t>ver power supply</w:t>
            </w:r>
          </w:p>
          <w:p w:rsidR="00000000" w:rsidRPr="004F35DF" w:rsidP="004F35DF">
            <w:pPr>
              <w:pStyle w:val="ListBullet"/>
            </w:pPr>
            <w:r w:rsidRPr="004F35DF">
              <w:t>operation of a typical television synchronous demodulator circuit</w:t>
            </w:r>
          </w:p>
          <w:p w:rsidR="00000000" w:rsidRPr="004F35DF" w:rsidP="004F35DF">
            <w:pPr>
              <w:pStyle w:val="ListBullet"/>
            </w:pPr>
            <w:r w:rsidRPr="004F35DF">
              <w:t>operation of series regulated power supplies as used in typical television receiver/monitors and recording device</w:t>
            </w:r>
          </w:p>
          <w:p w:rsidR="00000000" w:rsidRPr="004F35DF" w:rsidP="004F35DF">
            <w:pPr>
              <w:pStyle w:val="ListBullet"/>
            </w:pPr>
            <w:r w:rsidRPr="004F35DF">
              <w:t xml:space="preserve">operation of the switched-mode power supply (SMPS) control </w:t>
            </w:r>
            <w:r w:rsidRPr="004F35DF">
              <w:t>circuits in a television/video cassette recorder (VCR)</w:t>
            </w:r>
          </w:p>
          <w:p w:rsidR="00000000" w:rsidRPr="004F35DF" w:rsidP="004F35DF">
            <w:pPr>
              <w:pStyle w:val="ListBullet"/>
            </w:pPr>
            <w:r w:rsidRPr="004F35DF">
              <w:t>operation of tuners found in typical television receivers</w:t>
            </w:r>
          </w:p>
          <w:p w:rsidR="00000000" w:rsidRPr="004F35DF" w:rsidP="004F35DF">
            <w:pPr>
              <w:pStyle w:val="ListBullet"/>
            </w:pPr>
            <w:r w:rsidRPr="004F35DF">
              <w:t>operation of typical self-oscillating television/VCR/switched-mode power supply (SMPS) circuits</w:t>
            </w:r>
          </w:p>
          <w:p w:rsidR="00000000" w:rsidRPr="004F35DF" w:rsidP="004F35DF">
            <w:pPr>
              <w:pStyle w:val="ListBullet"/>
            </w:pPr>
            <w:r w:rsidRPr="004F35DF">
              <w:t>relevant job safety assessments or risk mitigat</w:t>
            </w:r>
            <w:r w:rsidRPr="004F35DF">
              <w:t>ion processes</w:t>
            </w:r>
          </w:p>
          <w:p w:rsidR="00000000" w:rsidRPr="004F35DF" w:rsidP="004F35DF">
            <w:pPr>
              <w:pStyle w:val="ListBullet"/>
            </w:pPr>
            <w:r w:rsidRPr="004F35DF">
              <w:t>relevant manufacturer specifications</w:t>
            </w:r>
          </w:p>
          <w:p w:rsidR="00000000" w:rsidRPr="004F35DF" w:rsidP="004F35DF">
            <w:pPr>
              <w:pStyle w:val="ListBullet"/>
            </w:pPr>
            <w:r w:rsidRPr="004F35DF">
              <w:t>relevant WHS/OHS legislated requirements</w:t>
            </w:r>
          </w:p>
          <w:p w:rsidR="00000000" w:rsidRPr="004F35DF" w:rsidP="004F35DF">
            <w:pPr>
              <w:pStyle w:val="ListBullet"/>
            </w:pPr>
            <w:r w:rsidRPr="004F35DF">
              <w:t>relevant workplace documentation</w:t>
            </w:r>
          </w:p>
          <w:p w:rsidR="00000000" w:rsidRPr="004F35DF" w:rsidP="004F35DF">
            <w:pPr>
              <w:pStyle w:val="ListBullet"/>
            </w:pPr>
            <w:r w:rsidRPr="004F35DF">
              <w:t>relevant workplace policies and procedures</w:t>
            </w:r>
          </w:p>
          <w:p w:rsidR="00000000" w:rsidRPr="004F35DF" w:rsidP="004F35DF">
            <w:pPr>
              <w:pStyle w:val="ListBullet"/>
            </w:pPr>
            <w:r w:rsidRPr="004F35DF">
              <w:t xml:space="preserve">safe working procedures to test power supply circuitry of a typical </w:t>
            </w:r>
            <w:r>
              <w:t>‘</w:t>
            </w:r>
            <w:r w:rsidRPr="004F35DF">
              <w:t>hot chassis</w:t>
            </w:r>
            <w:r>
              <w:t>’</w:t>
            </w:r>
            <w:r w:rsidRPr="004F35DF">
              <w:t xml:space="preserve"> televi</w:t>
            </w:r>
            <w:r w:rsidRPr="004F35DF">
              <w:t>sion receiver</w:t>
            </w:r>
          </w:p>
          <w:p w:rsidR="00000000" w:rsidRPr="004F35DF" w:rsidP="004F35DF">
            <w:pPr>
              <w:pStyle w:val="ListBullet"/>
            </w:pPr>
            <w:r w:rsidRPr="004F35DF">
              <w:t>sub-system arrangements and the operating principles of series and shunt type television receiver/VCR/SMPS</w:t>
            </w:r>
          </w:p>
          <w:p w:rsidR="00000000" w:rsidRPr="004F35DF" w:rsidP="004F35DF">
            <w:pPr>
              <w:pStyle w:val="ListBullet"/>
            </w:pPr>
            <w:r w:rsidRPr="004F35DF">
              <w:t>techniques for locating and repairing faults in a defective SMPS in a typical television monitor or VCR</w:t>
            </w:r>
          </w:p>
          <w:p w:rsidR="00000000" w:rsidRPr="004F35DF" w:rsidP="004F35DF">
            <w:pPr>
              <w:pStyle w:val="ListBullet"/>
            </w:pPr>
            <w:r w:rsidRPr="004F35DF">
              <w:t>techniques for locating and repairing faults in typical vision intermediate frequency (IF) circuits</w:t>
            </w:r>
          </w:p>
          <w:p w:rsidR="00000000" w:rsidRPr="004F35DF" w:rsidP="004F35DF">
            <w:pPr>
              <w:pStyle w:val="ListBullet"/>
            </w:pPr>
            <w:r w:rsidRPr="004F35DF">
              <w:t>techniques for locating and repairing faulty components.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14" w:name="O_1081104"/>
      <w:bookmarkEnd w:id="14"/>
      <w:r w:rsidRPr="004F35DF">
        <w:t>Assessment Conditions</w:t>
      </w:r>
    </w:p>
    <w:tbl>
      <w:tblPr>
        <w:tblW w:w="9497" w:type="dxa"/>
        <w:tblLayout w:type="fixed"/>
        <w:tblCellMar>
          <w:left w:w="62" w:type="dxa"/>
          <w:right w:w="62" w:type="dxa"/>
        </w:tblCellMar>
        <w:tblLook w:val="0000"/>
      </w:tblPr>
      <w:tblGrid>
        <w:gridCol w:w="9497"/>
      </w:tblGrid>
      <w:tr w:rsidTr="004F35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35DF" w:rsidP="004F35DF">
            <w:pPr>
              <w:pStyle w:val="BodyText"/>
            </w:pPr>
            <w:r w:rsidRPr="004F35DF">
              <w:t>Assessors must hold credentials specified within the Sta</w:t>
            </w:r>
            <w:r w:rsidRPr="004F35DF">
              <w:t xml:space="preserve">ndards for Registered Training Organisations current at the time of assessment. </w:t>
            </w:r>
          </w:p>
          <w:p w:rsidR="00000000" w:rsidRPr="004F35DF" w:rsidP="004F35DF">
            <w:pPr>
              <w:pStyle w:val="BodyText"/>
            </w:pPr>
            <w:r w:rsidRPr="004F35DF">
              <w:t xml:space="preserve">Assessment must satisfy the Principles of Assessment and Rules of Evidence and all regulatory requirements included within the Standards for Registered Training Organisations </w:t>
            </w:r>
            <w:r w:rsidRPr="004F35DF">
              <w:t>current at the time of assessment</w:t>
            </w:r>
          </w:p>
          <w:p w:rsidR="00000000" w:rsidRPr="004F35DF" w:rsidP="004F35DF">
            <w:pPr>
              <w:pStyle w:val="BodyText"/>
            </w:pPr>
            <w:r w:rsidRPr="004F35DF">
              <w:t>Assessment must occur in suitable workplace operational situations where it is appropriate to do so; where this is not appropriate, assessment must occur in simulated suitable workplace operational situations that replicat</w:t>
            </w:r>
            <w:r w:rsidRPr="004F35DF">
              <w:t>e workplace conditions.</w:t>
            </w:r>
          </w:p>
          <w:p w:rsidR="00000000" w:rsidRPr="004F35DF" w:rsidP="004F35DF">
            <w:pPr>
              <w:pStyle w:val="BodyText"/>
            </w:pPr>
            <w:r w:rsidRPr="004F35DF">
              <w:t>Assessment processes and techniques must be appropriate to the language, literacy and numeracy requirements of the work being performed and the needs of the candidate.</w:t>
            </w:r>
          </w:p>
          <w:p w:rsidR="00000000" w:rsidRPr="004F35DF" w:rsidP="004F35DF">
            <w:pPr>
              <w:pStyle w:val="BodyText"/>
            </w:pPr>
            <w:r w:rsidRPr="004F35DF">
              <w:t>Resources for assessment must include access to:</w:t>
            </w:r>
          </w:p>
          <w:p w:rsidR="00000000" w:rsidRPr="004F35DF" w:rsidP="004F35DF">
            <w:pPr>
              <w:pStyle w:val="ListBullet"/>
            </w:pPr>
            <w:r w:rsidRPr="004F35DF">
              <w:t>a range of re</w:t>
            </w:r>
            <w:r w:rsidRPr="004F35DF">
              <w:t>levant exercises, case studies and/or simulations</w:t>
            </w:r>
          </w:p>
          <w:p w:rsidR="00000000" w:rsidRPr="004F35DF" w:rsidP="004F35DF">
            <w:pPr>
              <w:pStyle w:val="ListBullet"/>
            </w:pPr>
            <w:r w:rsidRPr="004F35DF">
              <w:t xml:space="preserve">relevant and appropriate materials, tools, equipment and personal protective equipment (PPE) currently used in industry </w:t>
            </w:r>
          </w:p>
          <w:p w:rsidR="00000000" w:rsidRPr="004F35DF" w:rsidP="004F35DF">
            <w:pPr>
              <w:pStyle w:val="ListBullet"/>
            </w:pPr>
            <w:r w:rsidRPr="004F35DF">
              <w:t>resources that reflect current industry practices in relation to finding and repairin</w:t>
            </w:r>
            <w:r w:rsidRPr="004F35DF">
              <w:t>g faults in television receivers</w:t>
            </w:r>
          </w:p>
          <w:p w:rsidR="00000000" w:rsidRPr="004F35DF" w:rsidP="004F35DF">
            <w:pPr>
              <w:pStyle w:val="ListBullet"/>
            </w:pPr>
            <w:r w:rsidRPr="004F35DF">
              <w:t>applicable documentation, including workplace procedures, equipment specifications, regulations, codes of practice and operation manuals.</w:t>
            </w:r>
          </w:p>
        </w:tc>
      </w:tr>
    </w:tbl>
    <w:p w:rsidR="00000000" w:rsidRPr="004F35DF" w:rsidP="004F35DF">
      <w:pPr>
        <w:pStyle w:val="NoPaddingFontSize1"/>
      </w:pPr>
    </w:p>
    <w:p w:rsidR="00000000" w:rsidRPr="004F35DF" w:rsidP="004F35DF">
      <w:pPr>
        <w:pStyle w:val="AllowPageBreak"/>
      </w:pPr>
    </w:p>
    <w:p w:rsidR="00000000" w:rsidRPr="004F35DF" w:rsidP="004F35DF">
      <w:pPr>
        <w:pStyle w:val="Heading1"/>
      </w:pPr>
      <w:bookmarkStart w:id="15" w:name="O_1081107"/>
      <w:bookmarkEnd w:id="15"/>
      <w:r w:rsidRPr="004F35DF">
        <w:t>Links</w:t>
      </w:r>
    </w:p>
    <w:p w:rsidR="00000000" w:rsidRPr="004F35DF" w:rsidP="0003003A">
      <w:pPr>
        <w:pStyle w:val="BodyText"/>
      </w:pPr>
      <w:r w:rsidRPr="004F35DF">
        <w:t>Companion Volume implementation guides are found in VETNet</w:t>
      </w:r>
      <w:r w:rsidRPr="004F35DF">
        <w:t xml:space="preserve"> - - </w:t>
      </w:r>
      <w:r>
        <w:fldChar w:fldCharType="begin"/>
      </w:r>
      <w:r>
        <w:instrText xml:space="preserve"> HYPERLINK "https://vetnet.gov.au/Pages/TrainingDocs.aspx?q=b8a8f136-5421-4ce1-92e0-2b50341431b6" </w:instrText>
      </w:r>
      <w:r>
        <w:fldChar w:fldCharType="separate"/>
      </w:r>
      <w:r w:rsidRPr="003C735F">
        <w:rPr>
          <w:rStyle w:val="Hyperlink"/>
        </w:rPr>
        <w:t>https://vetnet.gov.au/Pages/TrainingDocs.aspx?q=b8a8f136-5421-4ce1-92e0-2b50341431b6</w:t>
      </w:r>
      <w:r>
        <w:fldChar w:fldCharType="end"/>
      </w:r>
    </w:p>
    <w:p w:rsidR="00000000" w:rsidRPr="004F35DF" w:rsidP="004F35DF"/>
    <w:sectPr w:rsidSect="004F35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rsidRPr="0003003A" w:rsidP="00030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3A" w:rsidP="004F35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003A" w:rsidP="004F35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003A" w:rsidP="004F35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rsidP="004F35DF">
    <w:pPr>
      <w:pStyle w:val="Footer"/>
      <w:framePr w:wrap="around"/>
    </w:pPr>
    <w:r>
      <w:fldChar w:fldCharType="begin"/>
    </w:r>
    <w:r>
      <w:instrText xml:space="preserve"> DOCPROPERTY  Subject  \* MERGEFORMAT </w:instrText>
    </w:r>
    <w:r>
      <w:fldChar w:fldCharType="separate"/>
    </w:r>
    <w:r w:rsidR="0003003A">
      <w:t>Approved</w:t>
    </w:r>
    <w:r w:rsidR="0003003A">
      <w:fldChar w:fldCharType="end"/>
    </w:r>
    <w:r>
      <w:tab/>
      <w:t xml:space="preserve">Page </w:t>
    </w:r>
    <w:r>
      <w:fldChar w:fldCharType="begin"/>
    </w:r>
    <w:r>
      <w:instrText xml:space="preserve"> PAGE  \* Arabic  \* MERGEFORMAT </w:instrText>
    </w:r>
    <w:r>
      <w:fldChar w:fldCharType="separate"/>
    </w:r>
    <w:r w:rsidR="000300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03A">
      <w:rPr>
        <w:noProof/>
      </w:rPr>
      <w:t>5</w:t>
    </w:r>
    <w:r>
      <w:rPr>
        <w:noProof/>
      </w:rPr>
      <w:fldChar w:fldCharType="end"/>
    </w:r>
  </w:p>
  <w:p w:rsidR="004F35DF" w:rsidP="004F35DF">
    <w:pPr>
      <w:pStyle w:val="Footer"/>
      <w:framePr w:wrap="around"/>
    </w:pPr>
    <w:r>
      <w:t xml:space="preserve">© Commonwealth of Australia, </w:t>
    </w:r>
    <w:r>
      <w:fldChar w:fldCharType="begin"/>
    </w:r>
    <w:r>
      <w:instrText xml:space="preserve"> DATE  \@ "yyyy"  \* MERGEFORMAT </w:instrText>
    </w:r>
    <w:r>
      <w:fldChar w:fldCharType="separate"/>
    </w:r>
    <w:r w:rsidR="0003003A">
      <w:rPr>
        <w:noProof/>
      </w:rPr>
      <w:t>2025</w:t>
    </w:r>
    <w:r>
      <w:fldChar w:fldCharType="end"/>
    </w:r>
    <w:r>
      <w:tab/>
    </w:r>
    <w:r>
      <w:fldChar w:fldCharType="begin"/>
    </w:r>
    <w:r>
      <w:instrText xml:space="preserve"> DOCPROPERTY  Author  \* MERGEFORMAT </w:instrText>
    </w:r>
    <w:r>
      <w:fldChar w:fldCharType="separate"/>
    </w:r>
    <w:r w:rsidR="0003003A">
      <w:t>Powering Skills Organisation</w:t>
    </w:r>
    <w:r w:rsidR="0003003A">
      <w:fldChar w:fldCharType="end"/>
    </w:r>
  </w:p>
  <w:p w:rsidR="004F35DF" w:rsidP="004F35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5DF" w:rsidRPr="0003003A" w:rsidP="00030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3A" w:rsidRPr="002D2AF8" w:rsidP="004F35DF">
    <w:pPr>
      <w:pStyle w:val="Header"/>
      <w:framePr w:wrap="around"/>
    </w:pPr>
    <w:r>
      <w:fldChar w:fldCharType="begin"/>
    </w:r>
    <w:r>
      <w:instrText xml:space="preserve"> TITLE   \* MERGEFORMAT </w:instrText>
    </w:r>
    <w:r>
      <w:fldChar w:fldCharType="separate"/>
    </w:r>
    <w:r>
      <w:t>UEEEC0070 Troubleshoot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003A" w:rsidP="004F35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DF" w:rsidRPr="002D2AF8" w:rsidP="004F35DF">
    <w:pPr>
      <w:pStyle w:val="Header"/>
      <w:framePr w:wrap="around"/>
    </w:pPr>
    <w:r>
      <w:fldChar w:fldCharType="begin"/>
    </w:r>
    <w:r>
      <w:instrText xml:space="preserve"> TITLE   \* MERGEFORMAT </w:instrText>
    </w:r>
    <w:r>
      <w:fldChar w:fldCharType="separate"/>
    </w:r>
    <w:r w:rsidR="0003003A">
      <w:t>UEEEC0070 Troubleshoot faults in television receivers</w:t>
    </w:r>
    <w:r w:rsidR="0003003A">
      <w:fldChar w:fldCharType="end"/>
    </w:r>
    <w:r>
      <w:tab/>
      <w:t xml:space="preserve">Date this document was generated: </w:t>
    </w:r>
    <w:r>
      <w:fldChar w:fldCharType="begin"/>
    </w:r>
    <w:r>
      <w:instrText xml:space="preserve"> CREATEDATE  \@ "d MMMM yyyy"  \* MERGEFORMAT </w:instrText>
    </w:r>
    <w:r>
      <w:fldChar w:fldCharType="separate"/>
    </w:r>
    <w:r w:rsidR="0003003A">
      <w:rPr>
        <w:noProof/>
      </w:rPr>
      <w:t>2 March 2025</w:t>
    </w:r>
    <w:r>
      <w:fldChar w:fldCharType="end"/>
    </w:r>
  </w:p>
  <w:p w:rsidR="004F35DF" w:rsidP="004F35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16B9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BA7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5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5DF"/>
    <w:pPr>
      <w:spacing w:before="360" w:after="60"/>
      <w:outlineLvl w:val="0"/>
    </w:pPr>
    <w:rPr>
      <w:sz w:val="32"/>
    </w:rPr>
  </w:style>
  <w:style w:type="paragraph" w:styleId="Heading2">
    <w:name w:val="heading 2"/>
    <w:basedOn w:val="HeadingBase"/>
    <w:next w:val="BodyText"/>
    <w:link w:val="Heading2Char"/>
    <w:qFormat/>
    <w:rsid w:val="004F35DF"/>
    <w:pPr>
      <w:keepLines/>
      <w:spacing w:before="240" w:after="120"/>
      <w:outlineLvl w:val="1"/>
    </w:pPr>
    <w:rPr>
      <w:sz w:val="28"/>
      <w:szCs w:val="40"/>
    </w:rPr>
  </w:style>
  <w:style w:type="paragraph" w:styleId="Heading3">
    <w:name w:val="heading 3"/>
    <w:basedOn w:val="HeadingBase"/>
    <w:next w:val="BodyText"/>
    <w:link w:val="Heading3Char"/>
    <w:qFormat/>
    <w:rsid w:val="004F35DF"/>
    <w:pPr>
      <w:spacing w:before="180" w:after="120"/>
      <w:outlineLvl w:val="2"/>
    </w:pPr>
    <w:rPr>
      <w:spacing w:val="-10"/>
      <w:kern w:val="32"/>
    </w:rPr>
  </w:style>
  <w:style w:type="paragraph" w:styleId="Heading4">
    <w:name w:val="heading 4"/>
    <w:basedOn w:val="HeadingBase"/>
    <w:next w:val="BodyText"/>
    <w:link w:val="Heading4Char"/>
    <w:qFormat/>
    <w:rsid w:val="004F35DF"/>
    <w:pPr>
      <w:spacing w:before="160" w:after="120"/>
      <w:outlineLvl w:val="3"/>
    </w:pPr>
    <w:rPr>
      <w:sz w:val="22"/>
    </w:rPr>
  </w:style>
  <w:style w:type="paragraph" w:styleId="Heading5">
    <w:name w:val="heading 5"/>
    <w:basedOn w:val="HeadingBase"/>
    <w:next w:val="Normal"/>
    <w:link w:val="Heading5Char"/>
    <w:qFormat/>
    <w:rsid w:val="004F35DF"/>
    <w:pPr>
      <w:spacing w:before="80"/>
      <w:outlineLvl w:val="4"/>
    </w:pPr>
    <w:rPr>
      <w:color w:val="918585"/>
      <w:sz w:val="20"/>
    </w:rPr>
  </w:style>
  <w:style w:type="paragraph" w:styleId="Heading6">
    <w:name w:val="heading 6"/>
    <w:basedOn w:val="HeadingBase"/>
    <w:next w:val="Normal"/>
    <w:link w:val="Heading6Char"/>
    <w:qFormat/>
    <w:rsid w:val="004F35DF"/>
    <w:pPr>
      <w:spacing w:before="60"/>
      <w:outlineLvl w:val="5"/>
    </w:pPr>
    <w:rPr>
      <w:color w:val="918585"/>
      <w:sz w:val="20"/>
    </w:rPr>
  </w:style>
  <w:style w:type="paragraph" w:styleId="Heading7">
    <w:name w:val="heading 7"/>
    <w:basedOn w:val="Normal"/>
    <w:next w:val="Normal"/>
    <w:link w:val="Heading7Char"/>
    <w:qFormat/>
    <w:rsid w:val="004F35DF"/>
    <w:pPr>
      <w:ind w:left="720"/>
      <w:outlineLvl w:val="6"/>
    </w:pPr>
    <w:rPr>
      <w:i/>
    </w:rPr>
  </w:style>
  <w:style w:type="paragraph" w:styleId="Heading8">
    <w:name w:val="heading 8"/>
    <w:basedOn w:val="Normal"/>
    <w:next w:val="Normal"/>
    <w:link w:val="Heading8Char"/>
    <w:qFormat/>
    <w:rsid w:val="004F35DF"/>
    <w:pPr>
      <w:ind w:left="720"/>
      <w:outlineLvl w:val="7"/>
    </w:pPr>
    <w:rPr>
      <w:i/>
    </w:rPr>
  </w:style>
  <w:style w:type="paragraph" w:styleId="Heading9">
    <w:name w:val="heading 9"/>
    <w:basedOn w:val="Normal"/>
    <w:next w:val="Normal"/>
    <w:link w:val="Heading9Char"/>
    <w:qFormat/>
    <w:rsid w:val="004F35DF"/>
    <w:pPr>
      <w:ind w:left="720"/>
      <w:outlineLvl w:val="8"/>
    </w:pPr>
    <w:rPr>
      <w:i/>
    </w:rPr>
  </w:style>
  <w:style w:type="character" w:default="1" w:styleId="DefaultParagraphFont">
    <w:name w:val="Default Paragraph Font"/>
    <w:uiPriority w:val="1"/>
    <w:unhideWhenUsed/>
    <w:rsid w:val="004F3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5DF"/>
  </w:style>
  <w:style w:type="character" w:customStyle="1" w:styleId="Heading1Char">
    <w:name w:val="Heading 1 Char"/>
    <w:basedOn w:val="DefaultParagraphFont"/>
    <w:link w:val="Heading1"/>
    <w:rsid w:val="004F35DF"/>
    <w:rPr>
      <w:rFonts w:ascii="Times New Roman" w:eastAsia="Times New Roman" w:hAnsi="Times New Roman" w:cs="Times New Roman"/>
      <w:b/>
      <w:sz w:val="32"/>
      <w:szCs w:val="20"/>
      <w:lang w:eastAsia="en-US"/>
    </w:rPr>
  </w:style>
  <w:style w:type="paragraph" w:styleId="BodyText">
    <w:name w:val="Body Text"/>
    <w:basedOn w:val="Normal"/>
    <w:link w:val="BodyTextChar"/>
    <w:rsid w:val="004F35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5DF"/>
    <w:rPr>
      <w:rFonts w:ascii="Times New Roman" w:eastAsia="Times New Roman" w:hAnsi="Times New Roman" w:cs="Times New Roman"/>
      <w:sz w:val="24"/>
      <w:lang w:eastAsia="en-US"/>
    </w:rPr>
  </w:style>
  <w:style w:type="paragraph" w:styleId="ListBullet">
    <w:name w:val="List Bullet"/>
    <w:basedOn w:val="List"/>
    <w:rsid w:val="004F35DF"/>
    <w:pPr>
      <w:numPr>
        <w:numId w:val="11"/>
      </w:numPr>
      <w:tabs>
        <w:tab w:val="clear" w:pos="340"/>
      </w:tabs>
      <w:spacing w:before="40" w:after="40"/>
    </w:pPr>
  </w:style>
  <w:style w:type="character" w:customStyle="1" w:styleId="SpecialBold">
    <w:name w:val="Special Bold"/>
    <w:basedOn w:val="DefaultParagraphFont"/>
    <w:rsid w:val="004F35DF"/>
    <w:rPr>
      <w:b/>
      <w:spacing w:val="0"/>
    </w:rPr>
  </w:style>
  <w:style w:type="paragraph" w:customStyle="1" w:styleId="SuperHeading">
    <w:name w:val="SuperHeading"/>
    <w:basedOn w:val="Normal"/>
    <w:rsid w:val="004F35DF"/>
    <w:pPr>
      <w:spacing w:before="240" w:after="120"/>
      <w:outlineLvl w:val="0"/>
    </w:pPr>
    <w:rPr>
      <w:rFonts w:ascii="Times New Roman" w:hAnsi="Times New Roman"/>
      <w:b/>
      <w:sz w:val="32"/>
    </w:rPr>
  </w:style>
  <w:style w:type="paragraph" w:customStyle="1" w:styleId="AllowPageBreak">
    <w:name w:val="AllowPageBreak"/>
    <w:rsid w:val="004F35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35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5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5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5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5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5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5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5DF"/>
    <w:rPr>
      <w:rFonts w:ascii="Courier New" w:eastAsia="Times New Roman" w:hAnsi="Courier New" w:cs="Times New Roman"/>
      <w:i/>
      <w:szCs w:val="20"/>
      <w:lang w:eastAsia="en-US"/>
    </w:rPr>
  </w:style>
  <w:style w:type="paragraph" w:customStyle="1" w:styleId="HeadingBase">
    <w:name w:val="Heading Base"/>
    <w:rsid w:val="004F35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5DF"/>
    <w:pPr>
      <w:tabs>
        <w:tab w:val="right" w:leader="dot" w:pos="9072"/>
      </w:tabs>
      <w:ind w:left="567"/>
    </w:pPr>
    <w:rPr>
      <w:szCs w:val="22"/>
    </w:rPr>
  </w:style>
  <w:style w:type="paragraph" w:customStyle="1" w:styleId="TOCBase">
    <w:name w:val="TOC Base"/>
    <w:rsid w:val="004F35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5DF"/>
    <w:pPr>
      <w:tabs>
        <w:tab w:val="right" w:leader="dot" w:pos="9072"/>
      </w:tabs>
      <w:spacing w:before="40" w:after="40"/>
      <w:ind w:left="284"/>
    </w:pPr>
    <w:rPr>
      <w:rFonts w:ascii="Times New Roman" w:hAnsi="Times New Roman"/>
    </w:rPr>
  </w:style>
  <w:style w:type="paragraph" w:styleId="TOC1">
    <w:name w:val="toc 1"/>
    <w:basedOn w:val="TOCBase"/>
    <w:next w:val="Normal"/>
    <w:rsid w:val="004F35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5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5DF"/>
    <w:rPr>
      <w:rFonts w:ascii="Times New Roman" w:eastAsia="Times New Roman" w:hAnsi="Times New Roman" w:cs="Times New Roman"/>
      <w:sz w:val="16"/>
      <w:lang w:eastAsia="en-US"/>
    </w:rPr>
  </w:style>
  <w:style w:type="paragraph" w:styleId="Title">
    <w:name w:val="Title"/>
    <w:basedOn w:val="HeadingBase"/>
    <w:link w:val="TitleChar"/>
    <w:qFormat/>
    <w:rsid w:val="004F35DF"/>
    <w:pPr>
      <w:spacing w:before="5040"/>
      <w:jc w:val="center"/>
    </w:pPr>
    <w:rPr>
      <w:sz w:val="48"/>
      <w:szCs w:val="72"/>
      <w:lang w:val="en-US"/>
    </w:rPr>
  </w:style>
  <w:style w:type="character" w:customStyle="1" w:styleId="TitleChar">
    <w:name w:val="Title Char"/>
    <w:basedOn w:val="DefaultParagraphFont"/>
    <w:link w:val="Title"/>
    <w:rsid w:val="004F35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5DF"/>
    <w:pPr>
      <w:tabs>
        <w:tab w:val="left" w:pos="3600"/>
        <w:tab w:val="left" w:pos="3958"/>
      </w:tabs>
    </w:pPr>
  </w:style>
  <w:style w:type="paragraph" w:styleId="List">
    <w:name w:val="List"/>
    <w:basedOn w:val="BodyText"/>
    <w:next w:val="BodyText"/>
    <w:rsid w:val="004F35DF"/>
    <w:pPr>
      <w:tabs>
        <w:tab w:val="left" w:pos="340"/>
      </w:tabs>
      <w:spacing w:before="60" w:after="60"/>
      <w:ind w:left="340" w:hanging="340"/>
    </w:pPr>
  </w:style>
  <w:style w:type="paragraph" w:customStyle="1" w:styleId="Note">
    <w:name w:val="Note"/>
    <w:basedOn w:val="BodyText"/>
    <w:rsid w:val="004F35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5DF"/>
    <w:pPr>
      <w:framePr w:wrap="auto" w:hAnchor="text" w:y="6049"/>
    </w:pPr>
    <w:rPr>
      <w:color w:val="000000"/>
      <w:sz w:val="40"/>
    </w:rPr>
  </w:style>
  <w:style w:type="paragraph" w:customStyle="1" w:styleId="TOCTitle">
    <w:name w:val="TOCTitle"/>
    <w:basedOn w:val="Heading1"/>
    <w:rsid w:val="004F35DF"/>
    <w:pPr>
      <w:spacing w:after="240"/>
      <w:jc w:val="center"/>
      <w:outlineLvl w:val="9"/>
    </w:pPr>
    <w:rPr>
      <w:caps/>
    </w:rPr>
  </w:style>
  <w:style w:type="paragraph" w:customStyle="1" w:styleId="Version">
    <w:name w:val="Version"/>
    <w:rsid w:val="004F35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5DF"/>
    <w:pPr>
      <w:numPr>
        <w:numId w:val="12"/>
      </w:numPr>
      <w:tabs>
        <w:tab w:val="clear" w:pos="680"/>
      </w:tabs>
    </w:pPr>
  </w:style>
  <w:style w:type="paragraph" w:styleId="Index1">
    <w:name w:val="index 1"/>
    <w:basedOn w:val="Normal"/>
    <w:next w:val="Normal"/>
    <w:semiHidden/>
    <w:rsid w:val="004F35DF"/>
    <w:pPr>
      <w:keepNext w:val="0"/>
      <w:tabs>
        <w:tab w:val="right" w:pos="4176"/>
      </w:tabs>
      <w:ind w:left="198" w:hanging="198"/>
    </w:pPr>
    <w:rPr>
      <w:rFonts w:ascii="Garamond" w:hAnsi="Garamond"/>
    </w:rPr>
  </w:style>
  <w:style w:type="paragraph" w:styleId="IndexHeading">
    <w:name w:val="index heading"/>
    <w:basedOn w:val="Normal"/>
    <w:next w:val="Index1"/>
    <w:semiHidden/>
    <w:rsid w:val="004F35DF"/>
    <w:pPr>
      <w:spacing w:before="120" w:after="120"/>
    </w:pPr>
    <w:rPr>
      <w:rFonts w:ascii="Arial" w:hAnsi="Arial"/>
      <w:b/>
      <w:color w:val="918585"/>
      <w:sz w:val="24"/>
    </w:rPr>
  </w:style>
  <w:style w:type="paragraph" w:styleId="Header">
    <w:name w:val="header"/>
    <w:basedOn w:val="Normal"/>
    <w:link w:val="HeaderChar"/>
    <w:rsid w:val="004F35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5DF"/>
    <w:rPr>
      <w:rFonts w:ascii="Times New Roman" w:eastAsia="Times New Roman" w:hAnsi="Times New Roman" w:cs="Times New Roman"/>
      <w:sz w:val="16"/>
      <w:szCs w:val="20"/>
      <w:lang w:val="en-GB" w:eastAsia="en-US"/>
    </w:rPr>
  </w:style>
  <w:style w:type="paragraph" w:customStyle="1" w:styleId="Chapter">
    <w:name w:val="Chapter"/>
    <w:basedOn w:val="Normal"/>
    <w:rsid w:val="004F35DF"/>
    <w:pPr>
      <w:spacing w:before="240"/>
    </w:pPr>
    <w:rPr>
      <w:rFonts w:ascii="Times New Roman" w:hAnsi="Times New Roman"/>
      <w:smallCaps/>
      <w:spacing w:val="80"/>
      <w:sz w:val="28"/>
    </w:rPr>
  </w:style>
  <w:style w:type="paragraph" w:customStyle="1" w:styleId="InChapter">
    <w:name w:val="InChapter"/>
    <w:basedOn w:val="Heading3"/>
    <w:rsid w:val="004F35DF"/>
    <w:pPr>
      <w:spacing w:after="240"/>
      <w:outlineLvl w:val="9"/>
    </w:pPr>
    <w:rPr>
      <w:noProof/>
    </w:rPr>
  </w:style>
  <w:style w:type="paragraph" w:styleId="Index2">
    <w:name w:val="index 2"/>
    <w:basedOn w:val="Normal"/>
    <w:next w:val="Normal"/>
    <w:semiHidden/>
    <w:rsid w:val="004F35DF"/>
    <w:pPr>
      <w:tabs>
        <w:tab w:val="right" w:pos="4176"/>
      </w:tabs>
      <w:ind w:left="568" w:hanging="284"/>
    </w:pPr>
    <w:rPr>
      <w:rFonts w:ascii="Garamond" w:hAnsi="Garamond"/>
    </w:rPr>
  </w:style>
  <w:style w:type="paragraph" w:customStyle="1" w:styleId="Byline">
    <w:name w:val="Byline"/>
    <w:rsid w:val="004F35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5DF"/>
    <w:pPr>
      <w:tabs>
        <w:tab w:val="clear" w:pos="3600"/>
        <w:tab w:val="clear" w:pos="3958"/>
      </w:tabs>
      <w:jc w:val="right"/>
    </w:pPr>
  </w:style>
  <w:style w:type="character" w:styleId="Emphasis">
    <w:name w:val="Emphasis"/>
    <w:basedOn w:val="DefaultParagraphFont"/>
    <w:qFormat/>
    <w:rsid w:val="004F35DF"/>
    <w:rPr>
      <w:i/>
    </w:rPr>
  </w:style>
  <w:style w:type="paragraph" w:styleId="Caption">
    <w:name w:val="caption"/>
    <w:basedOn w:val="BodyText"/>
    <w:next w:val="Normal"/>
    <w:qFormat/>
    <w:rsid w:val="004F35DF"/>
    <w:pPr>
      <w:framePr w:w="2268" w:hSpace="181" w:vSpace="181" w:wrap="around" w:vAnchor="text" w:hAnchor="page" w:x="1135" w:y="285" w:anchorLock="1"/>
    </w:pPr>
    <w:rPr>
      <w:i/>
    </w:rPr>
  </w:style>
  <w:style w:type="paragraph" w:customStyle="1" w:styleId="MiniTOCTitle">
    <w:name w:val="MiniTOCTitle"/>
    <w:basedOn w:val="Heading4"/>
    <w:rsid w:val="004F35DF"/>
    <w:pPr>
      <w:spacing w:before="240"/>
      <w:outlineLvl w:val="9"/>
    </w:pPr>
    <w:rPr>
      <w:noProof/>
      <w:sz w:val="24"/>
    </w:rPr>
  </w:style>
  <w:style w:type="paragraph" w:customStyle="1" w:styleId="MiniTOCItem">
    <w:name w:val="MiniTOCItem"/>
    <w:basedOn w:val="ListBullet"/>
    <w:rsid w:val="004F35DF"/>
    <w:pPr>
      <w:numPr>
        <w:numId w:val="0"/>
      </w:numPr>
      <w:tabs>
        <w:tab w:val="right" w:leader="dot" w:pos="6521"/>
      </w:tabs>
      <w:spacing w:before="0" w:after="0"/>
    </w:pPr>
  </w:style>
  <w:style w:type="paragraph" w:customStyle="1" w:styleId="TOFTitle">
    <w:name w:val="TOFTitle"/>
    <w:basedOn w:val="TOCTitle"/>
    <w:rsid w:val="004F35DF"/>
  </w:style>
  <w:style w:type="paragraph" w:styleId="TableofFigures">
    <w:name w:val="table of figures"/>
    <w:basedOn w:val="Normal"/>
    <w:next w:val="Normal"/>
    <w:semiHidden/>
    <w:rsid w:val="004F35DF"/>
    <w:pPr>
      <w:tabs>
        <w:tab w:val="right" w:leader="dot" w:pos="9072"/>
      </w:tabs>
      <w:ind w:left="970" w:hanging="403"/>
    </w:pPr>
    <w:rPr>
      <w:rFonts w:ascii="Times New Roman" w:hAnsi="Times New Roman"/>
      <w:b/>
    </w:rPr>
  </w:style>
  <w:style w:type="paragraph" w:styleId="ListNumber">
    <w:name w:val="List Number"/>
    <w:basedOn w:val="List"/>
    <w:rsid w:val="004F35DF"/>
    <w:pPr>
      <w:numPr>
        <w:numId w:val="14"/>
      </w:numPr>
      <w:tabs>
        <w:tab w:val="clear" w:pos="340"/>
      </w:tabs>
    </w:pPr>
  </w:style>
  <w:style w:type="character" w:customStyle="1" w:styleId="WingdingSymbols">
    <w:name w:val="Wingding Symbols"/>
    <w:rsid w:val="004F35DF"/>
    <w:rPr>
      <w:rFonts w:ascii="Wingdings" w:hAnsi="Wingdings"/>
    </w:rPr>
  </w:style>
  <w:style w:type="paragraph" w:customStyle="1" w:styleId="TableHeading">
    <w:name w:val="Table Heading"/>
    <w:basedOn w:val="HeadingBase"/>
    <w:rsid w:val="004F35DF"/>
    <w:pPr>
      <w:keepLines/>
      <w:pBdr>
        <w:bottom w:val="single" w:sz="6" w:space="1" w:color="918585"/>
      </w:pBdr>
      <w:spacing w:before="240"/>
    </w:pPr>
  </w:style>
  <w:style w:type="character" w:customStyle="1" w:styleId="HotSpot">
    <w:name w:val="HotSpot"/>
    <w:rsid w:val="004F35DF"/>
    <w:rPr>
      <w:color w:val="0033CC"/>
      <w:u w:val="none"/>
    </w:rPr>
  </w:style>
  <w:style w:type="paragraph" w:customStyle="1" w:styleId="BodyTextRight">
    <w:name w:val="Body Text Right"/>
    <w:basedOn w:val="BodyText"/>
    <w:rsid w:val="004F35DF"/>
    <w:pPr>
      <w:spacing w:before="0" w:after="0"/>
      <w:jc w:val="right"/>
    </w:pPr>
  </w:style>
  <w:style w:type="paragraph" w:styleId="Index3">
    <w:name w:val="index 3"/>
    <w:basedOn w:val="ListNumber2"/>
    <w:next w:val="Normal"/>
    <w:semiHidden/>
    <w:rsid w:val="004F35DF"/>
    <w:pPr>
      <w:numPr>
        <w:numId w:val="0"/>
      </w:numPr>
      <w:tabs>
        <w:tab w:val="right" w:leader="dot" w:pos="4176"/>
      </w:tabs>
    </w:pPr>
  </w:style>
  <w:style w:type="paragraph" w:styleId="ListNumber2">
    <w:name w:val="List Number 2"/>
    <w:basedOn w:val="List2"/>
    <w:rsid w:val="004F35DF"/>
    <w:pPr>
      <w:numPr>
        <w:numId w:val="9"/>
      </w:numPr>
      <w:tabs>
        <w:tab w:val="clear" w:pos="1060"/>
      </w:tabs>
    </w:pPr>
  </w:style>
  <w:style w:type="paragraph" w:customStyle="1" w:styleId="MarginNote">
    <w:name w:val="Margin Note"/>
    <w:basedOn w:val="BodyText"/>
    <w:rsid w:val="004F35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5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5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5DF"/>
    <w:rPr>
      <w:sz w:val="32"/>
    </w:rPr>
  </w:style>
  <w:style w:type="paragraph" w:customStyle="1" w:styleId="HeadingProcedure">
    <w:name w:val="Heading Procedure"/>
    <w:basedOn w:val="HeadingBase"/>
    <w:next w:val="Normal"/>
    <w:rsid w:val="004F35DF"/>
    <w:pPr>
      <w:tabs>
        <w:tab w:val="left" w:pos="0"/>
      </w:tabs>
      <w:spacing w:before="120" w:after="60"/>
    </w:pPr>
    <w:rPr>
      <w:i/>
      <w:color w:val="918585"/>
      <w:sz w:val="22"/>
    </w:rPr>
  </w:style>
  <w:style w:type="paragraph" w:customStyle="1" w:styleId="TableBodyText">
    <w:name w:val="Table Body Text"/>
    <w:basedOn w:val="BodyText"/>
    <w:rsid w:val="004F35DF"/>
    <w:pPr>
      <w:spacing w:before="60" w:after="60"/>
    </w:pPr>
  </w:style>
  <w:style w:type="paragraph" w:styleId="ListContinue">
    <w:name w:val="List Continue"/>
    <w:basedOn w:val="List"/>
    <w:rsid w:val="004F35DF"/>
    <w:pPr>
      <w:ind w:firstLine="0"/>
    </w:pPr>
  </w:style>
  <w:style w:type="paragraph" w:customStyle="1" w:styleId="ListNote">
    <w:name w:val="List Note"/>
    <w:basedOn w:val="List"/>
    <w:rsid w:val="004F35DF"/>
    <w:pPr>
      <w:pBdr>
        <w:top w:val="single" w:sz="6" w:space="2" w:color="918585"/>
        <w:bottom w:val="single" w:sz="6" w:space="2" w:color="918585"/>
      </w:pBdr>
      <w:tabs>
        <w:tab w:val="left" w:pos="1021"/>
      </w:tabs>
      <w:ind w:firstLine="0"/>
    </w:pPr>
  </w:style>
  <w:style w:type="paragraph" w:customStyle="1" w:styleId="Warning">
    <w:name w:val="Warning"/>
    <w:basedOn w:val="BodyText"/>
    <w:rsid w:val="004F35DF"/>
    <w:pPr>
      <w:shd w:val="clear" w:color="auto" w:fill="D9D9D9"/>
      <w:tabs>
        <w:tab w:val="left" w:pos="992"/>
      </w:tabs>
      <w:ind w:left="119" w:right="119"/>
    </w:pPr>
    <w:rPr>
      <w:sz w:val="20"/>
    </w:rPr>
  </w:style>
  <w:style w:type="paragraph" w:customStyle="1" w:styleId="MarginIcons">
    <w:name w:val="Margin Icons"/>
    <w:basedOn w:val="BodyText"/>
    <w:rsid w:val="004F35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5DF"/>
    <w:rPr>
      <w:rFonts w:ascii="Courier New" w:hAnsi="Courier New"/>
    </w:rPr>
  </w:style>
  <w:style w:type="paragraph" w:customStyle="1" w:styleId="NoteBullet">
    <w:name w:val="Note Bullet"/>
    <w:basedOn w:val="Note"/>
    <w:rsid w:val="004F35DF"/>
    <w:pPr>
      <w:tabs>
        <w:tab w:val="clear" w:pos="680"/>
      </w:tabs>
      <w:spacing w:before="60" w:after="60"/>
    </w:pPr>
  </w:style>
  <w:style w:type="paragraph" w:customStyle="1" w:styleId="SubHeading2">
    <w:name w:val="SubHeading2"/>
    <w:basedOn w:val="HeadingBase"/>
    <w:rsid w:val="004F35DF"/>
    <w:pPr>
      <w:spacing w:before="240" w:after="60"/>
    </w:pPr>
    <w:rPr>
      <w:sz w:val="20"/>
    </w:rPr>
  </w:style>
  <w:style w:type="paragraph" w:customStyle="1" w:styleId="SubHeading1">
    <w:name w:val="SubHeading1"/>
    <w:basedOn w:val="HeadingBase"/>
    <w:rsid w:val="004F35DF"/>
    <w:pPr>
      <w:spacing w:before="240" w:after="60"/>
    </w:pPr>
    <w:rPr>
      <w:color w:val="918585"/>
      <w:sz w:val="22"/>
    </w:rPr>
  </w:style>
  <w:style w:type="paragraph" w:customStyle="1" w:styleId="SideHeading">
    <w:name w:val="Side Heading"/>
    <w:basedOn w:val="HeadingBase"/>
    <w:rsid w:val="004F35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5DF"/>
    <w:pPr>
      <w:numPr>
        <w:numId w:val="10"/>
      </w:numPr>
    </w:pPr>
  </w:style>
  <w:style w:type="paragraph" w:styleId="PlainText">
    <w:name w:val="Plain Text"/>
    <w:basedOn w:val="Normal"/>
    <w:link w:val="PlainTextChar"/>
    <w:rsid w:val="004F35DF"/>
    <w:rPr>
      <w:sz w:val="20"/>
    </w:rPr>
  </w:style>
  <w:style w:type="character" w:customStyle="1" w:styleId="PlainTextChar">
    <w:name w:val="Plain Text Char"/>
    <w:basedOn w:val="DefaultParagraphFont"/>
    <w:link w:val="PlainText"/>
    <w:rsid w:val="004F35DF"/>
    <w:rPr>
      <w:rFonts w:ascii="Courier New" w:eastAsia="Times New Roman" w:hAnsi="Courier New" w:cs="Times New Roman"/>
      <w:sz w:val="20"/>
      <w:szCs w:val="20"/>
      <w:lang w:eastAsia="en-US"/>
    </w:rPr>
  </w:style>
  <w:style w:type="character" w:customStyle="1" w:styleId="MenuOption">
    <w:name w:val="Menu Option"/>
    <w:basedOn w:val="DefaultParagraphFont"/>
    <w:rsid w:val="004F35DF"/>
    <w:rPr>
      <w:b/>
      <w:smallCaps/>
    </w:rPr>
  </w:style>
  <w:style w:type="paragraph" w:customStyle="1" w:styleId="TableListNumber">
    <w:name w:val="Table List Number"/>
    <w:basedOn w:val="ListNumber"/>
    <w:rsid w:val="004F35DF"/>
    <w:pPr>
      <w:numPr>
        <w:numId w:val="0"/>
      </w:numPr>
    </w:pPr>
  </w:style>
  <w:style w:type="paragraph" w:styleId="TOC4">
    <w:name w:val="toc 4"/>
    <w:basedOn w:val="TOCBase"/>
    <w:next w:val="Normal"/>
    <w:semiHidden/>
    <w:rsid w:val="004F35DF"/>
    <w:pPr>
      <w:tabs>
        <w:tab w:val="right" w:leader="dot" w:pos="9071"/>
      </w:tabs>
      <w:ind w:left="1701"/>
    </w:pPr>
  </w:style>
  <w:style w:type="paragraph" w:customStyle="1" w:styleId="ListAlpha">
    <w:name w:val="List Alpha"/>
    <w:basedOn w:val="List"/>
    <w:rsid w:val="004F35DF"/>
    <w:pPr>
      <w:numPr>
        <w:numId w:val="8"/>
      </w:numPr>
    </w:pPr>
  </w:style>
  <w:style w:type="paragraph" w:customStyle="1" w:styleId="ListAlpha2">
    <w:name w:val="List Alpha 2"/>
    <w:basedOn w:val="List2"/>
    <w:rsid w:val="004F35DF"/>
    <w:pPr>
      <w:numPr>
        <w:numId w:val="7"/>
      </w:numPr>
    </w:pPr>
  </w:style>
  <w:style w:type="paragraph" w:styleId="List2">
    <w:name w:val="List 2"/>
    <w:basedOn w:val="BodyText"/>
    <w:rsid w:val="004F35DF"/>
    <w:pPr>
      <w:tabs>
        <w:tab w:val="left" w:pos="680"/>
      </w:tabs>
      <w:spacing w:before="60" w:after="60"/>
      <w:ind w:left="680" w:hanging="340"/>
    </w:pPr>
  </w:style>
  <w:style w:type="paragraph" w:styleId="List3">
    <w:name w:val="List 3"/>
    <w:basedOn w:val="BodyText"/>
    <w:rsid w:val="004F35DF"/>
    <w:pPr>
      <w:tabs>
        <w:tab w:val="left" w:pos="1021"/>
      </w:tabs>
      <w:spacing w:before="60" w:after="60"/>
      <w:ind w:left="1020" w:hanging="340"/>
    </w:pPr>
  </w:style>
  <w:style w:type="paragraph" w:styleId="List4">
    <w:name w:val="List 4"/>
    <w:basedOn w:val="BodyText"/>
    <w:rsid w:val="004F35DF"/>
    <w:pPr>
      <w:tabs>
        <w:tab w:val="left" w:pos="1361"/>
      </w:tabs>
      <w:spacing w:before="60" w:after="60"/>
      <w:ind w:left="1361" w:hanging="340"/>
    </w:pPr>
  </w:style>
  <w:style w:type="paragraph" w:styleId="List5">
    <w:name w:val="List 5"/>
    <w:basedOn w:val="BodyText"/>
    <w:rsid w:val="004F35DF"/>
    <w:pPr>
      <w:tabs>
        <w:tab w:val="left" w:pos="1701"/>
      </w:tabs>
      <w:spacing w:before="60" w:after="60"/>
      <w:ind w:left="1701" w:hanging="340"/>
    </w:pPr>
  </w:style>
  <w:style w:type="paragraph" w:styleId="ListBullet3">
    <w:name w:val="List Bullet 3"/>
    <w:basedOn w:val="List3"/>
    <w:rsid w:val="004F35DF"/>
    <w:pPr>
      <w:numPr>
        <w:numId w:val="13"/>
      </w:numPr>
      <w:tabs>
        <w:tab w:val="clear" w:pos="1021"/>
      </w:tabs>
      <w:ind w:left="1037" w:hanging="357"/>
    </w:pPr>
  </w:style>
  <w:style w:type="paragraph" w:styleId="ListBullet4">
    <w:name w:val="List Bullet 4"/>
    <w:basedOn w:val="List4"/>
    <w:rsid w:val="004F35DF"/>
    <w:pPr>
      <w:numPr>
        <w:numId w:val="2"/>
      </w:numPr>
      <w:tabs>
        <w:tab w:val="clear" w:pos="1361"/>
      </w:tabs>
    </w:pPr>
  </w:style>
  <w:style w:type="paragraph" w:styleId="ListBullet5">
    <w:name w:val="List Bullet 5"/>
    <w:basedOn w:val="List5"/>
    <w:rsid w:val="004F35DF"/>
    <w:pPr>
      <w:numPr>
        <w:numId w:val="3"/>
      </w:numPr>
    </w:pPr>
  </w:style>
  <w:style w:type="paragraph" w:styleId="ListContinue2">
    <w:name w:val="List Continue 2"/>
    <w:basedOn w:val="List2"/>
    <w:rsid w:val="004F35DF"/>
    <w:pPr>
      <w:ind w:firstLine="0"/>
    </w:pPr>
  </w:style>
  <w:style w:type="paragraph" w:styleId="ListContinue3">
    <w:name w:val="List Continue 3"/>
    <w:basedOn w:val="List3"/>
    <w:rsid w:val="004F35DF"/>
    <w:pPr>
      <w:ind w:left="1021" w:firstLine="0"/>
    </w:pPr>
  </w:style>
  <w:style w:type="paragraph" w:styleId="ListContinue4">
    <w:name w:val="List Continue 4"/>
    <w:basedOn w:val="List4"/>
    <w:rsid w:val="004F35DF"/>
    <w:pPr>
      <w:ind w:firstLine="0"/>
    </w:pPr>
  </w:style>
  <w:style w:type="paragraph" w:styleId="ListContinue5">
    <w:name w:val="List Continue 5"/>
    <w:basedOn w:val="List5"/>
    <w:rsid w:val="004F35DF"/>
    <w:pPr>
      <w:ind w:firstLine="0"/>
    </w:pPr>
  </w:style>
  <w:style w:type="paragraph" w:styleId="ListNumber3">
    <w:name w:val="List Number 3"/>
    <w:basedOn w:val="List3"/>
    <w:rsid w:val="004F35DF"/>
    <w:pPr>
      <w:numPr>
        <w:numId w:val="4"/>
      </w:numPr>
    </w:pPr>
  </w:style>
  <w:style w:type="paragraph" w:styleId="ListNumber4">
    <w:name w:val="List Number 4"/>
    <w:basedOn w:val="List4"/>
    <w:rsid w:val="004F35DF"/>
    <w:pPr>
      <w:numPr>
        <w:numId w:val="5"/>
      </w:numPr>
    </w:pPr>
  </w:style>
  <w:style w:type="paragraph" w:styleId="ListNumber5">
    <w:name w:val="List Number 5"/>
    <w:basedOn w:val="List5"/>
    <w:rsid w:val="004F35DF"/>
    <w:pPr>
      <w:numPr>
        <w:numId w:val="6"/>
      </w:numPr>
    </w:pPr>
  </w:style>
  <w:style w:type="paragraph" w:styleId="BlockText">
    <w:name w:val="Block Text"/>
    <w:basedOn w:val="Normal"/>
    <w:rsid w:val="004F35DF"/>
    <w:pPr>
      <w:spacing w:after="120"/>
      <w:ind w:left="1440" w:right="1440"/>
    </w:pPr>
  </w:style>
  <w:style w:type="character" w:customStyle="1" w:styleId="Subscript">
    <w:name w:val="Subscript"/>
    <w:basedOn w:val="DefaultParagraphFont"/>
    <w:rsid w:val="004F35DF"/>
    <w:rPr>
      <w:sz w:val="16"/>
      <w:vertAlign w:val="subscript"/>
    </w:rPr>
  </w:style>
  <w:style w:type="character" w:customStyle="1" w:styleId="Superscript">
    <w:name w:val="Superscript"/>
    <w:basedOn w:val="DefaultParagraphFont"/>
    <w:rsid w:val="004F35DF"/>
    <w:rPr>
      <w:sz w:val="16"/>
      <w:vertAlign w:val="superscript"/>
    </w:rPr>
  </w:style>
  <w:style w:type="character" w:customStyle="1" w:styleId="Symbols">
    <w:name w:val="Symbols"/>
    <w:basedOn w:val="DefaultParagraphFont"/>
    <w:rsid w:val="004F35DF"/>
    <w:rPr>
      <w:rFonts w:ascii="Symbol" w:hAnsi="Symbol"/>
    </w:rPr>
  </w:style>
  <w:style w:type="character" w:customStyle="1" w:styleId="MenuOptions">
    <w:name w:val="Menu Options"/>
    <w:basedOn w:val="DefaultParagraphFont"/>
    <w:rsid w:val="004F35DF"/>
    <w:rPr>
      <w:rFonts w:ascii="Arial Narrow" w:hAnsi="Arial Narrow"/>
      <w:smallCaps/>
    </w:rPr>
  </w:style>
  <w:style w:type="character" w:customStyle="1" w:styleId="Buttons">
    <w:name w:val="Buttons"/>
    <w:basedOn w:val="DefaultParagraphFont"/>
    <w:rsid w:val="004F35DF"/>
    <w:rPr>
      <w:b/>
    </w:rPr>
  </w:style>
  <w:style w:type="character" w:customStyle="1" w:styleId="Underlined">
    <w:name w:val="Underlined"/>
    <w:basedOn w:val="DefaultParagraphFont"/>
    <w:rsid w:val="004F35DF"/>
    <w:rPr>
      <w:u w:val="single"/>
    </w:rPr>
  </w:style>
  <w:style w:type="paragraph" w:customStyle="1" w:styleId="TableBodyTextRight">
    <w:name w:val="Table Body Text Right"/>
    <w:basedOn w:val="TableBodyText"/>
    <w:rsid w:val="004F35DF"/>
    <w:pPr>
      <w:widowControl w:val="0"/>
      <w:autoSpaceDE w:val="0"/>
      <w:autoSpaceDN w:val="0"/>
      <w:adjustRightInd w:val="0"/>
      <w:jc w:val="right"/>
    </w:pPr>
    <w:rPr>
      <w:rFonts w:cs="Arial"/>
      <w:szCs w:val="18"/>
    </w:rPr>
  </w:style>
  <w:style w:type="paragraph" w:customStyle="1" w:styleId="CopyrightText">
    <w:name w:val="Copyright Text"/>
    <w:basedOn w:val="BodyText"/>
    <w:rsid w:val="004F35DF"/>
    <w:rPr>
      <w:sz w:val="18"/>
    </w:rPr>
  </w:style>
  <w:style w:type="paragraph" w:customStyle="1" w:styleId="BodySmallRight">
    <w:name w:val="Body Small Right"/>
    <w:basedOn w:val="BodyTextRight"/>
    <w:rsid w:val="004F35DF"/>
    <w:rPr>
      <w:sz w:val="18"/>
      <w:szCs w:val="18"/>
    </w:rPr>
  </w:style>
  <w:style w:type="paragraph" w:customStyle="1" w:styleId="MarginEdition">
    <w:name w:val="Margin Edition"/>
    <w:basedOn w:val="MarginNote"/>
    <w:rsid w:val="004F35DF"/>
    <w:pPr>
      <w:spacing w:before="0" w:after="0"/>
    </w:pPr>
    <w:rPr>
      <w:rFonts w:ascii="Times New Roman" w:hAnsi="Times New Roman"/>
      <w:color w:val="999999"/>
    </w:rPr>
  </w:style>
  <w:style w:type="paragraph" w:customStyle="1" w:styleId="Spacer">
    <w:name w:val="Spacer"/>
    <w:basedOn w:val="Normal"/>
    <w:rsid w:val="004F35DF"/>
    <w:rPr>
      <w:sz w:val="2"/>
      <w:szCs w:val="2"/>
    </w:rPr>
  </w:style>
  <w:style w:type="character" w:customStyle="1" w:styleId="Small">
    <w:name w:val="Small"/>
    <w:basedOn w:val="DefaultParagraphFont"/>
    <w:rsid w:val="004F35DF"/>
    <w:rPr>
      <w:sz w:val="16"/>
    </w:rPr>
  </w:style>
  <w:style w:type="paragraph" w:customStyle="1" w:styleId="WideTable">
    <w:name w:val="Wide Table"/>
    <w:basedOn w:val="Normal"/>
    <w:rsid w:val="004F35DF"/>
    <w:pPr>
      <w:ind w:left="-1418"/>
    </w:pPr>
    <w:rPr>
      <w:sz w:val="2"/>
      <w:szCs w:val="2"/>
    </w:rPr>
  </w:style>
  <w:style w:type="character" w:styleId="PageNumber">
    <w:name w:val="page number"/>
    <w:basedOn w:val="DefaultParagraphFont"/>
    <w:rsid w:val="004F35DF"/>
  </w:style>
  <w:style w:type="paragraph" w:styleId="Quote">
    <w:name w:val="Quote"/>
    <w:basedOn w:val="Heading1"/>
    <w:link w:val="QuoteChar"/>
    <w:qFormat/>
    <w:rsid w:val="004F35DF"/>
    <w:rPr>
      <w:b w:val="0"/>
      <w:sz w:val="72"/>
      <w:szCs w:val="72"/>
      <w:lang w:val="en-NZ"/>
    </w:rPr>
  </w:style>
  <w:style w:type="character" w:customStyle="1" w:styleId="QuoteChar">
    <w:name w:val="Quote Char"/>
    <w:basedOn w:val="DefaultParagraphFont"/>
    <w:link w:val="Quote"/>
    <w:rsid w:val="004F35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5DF"/>
    <w:pPr>
      <w:pageBreakBefore/>
    </w:pPr>
  </w:style>
  <w:style w:type="paragraph" w:customStyle="1" w:styleId="Border">
    <w:name w:val="Border"/>
    <w:basedOn w:val="Normal"/>
    <w:qFormat/>
    <w:rsid w:val="004F35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5DF"/>
    <w:rPr>
      <w:b/>
      <w:bCs/>
      <w:i/>
      <w:iCs/>
      <w:color w:val="auto"/>
    </w:rPr>
  </w:style>
  <w:style w:type="paragraph" w:styleId="IntenseQuote">
    <w:name w:val="Intense Quote"/>
    <w:basedOn w:val="Normal"/>
    <w:next w:val="Normal"/>
    <w:link w:val="IntenseQuoteChar"/>
    <w:uiPriority w:val="30"/>
    <w:qFormat/>
    <w:rsid w:val="004F35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5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5DF"/>
    <w:rPr>
      <w:smallCaps/>
      <w:color w:val="auto"/>
      <w:u w:val="single"/>
    </w:rPr>
  </w:style>
  <w:style w:type="character" w:styleId="IntenseReference">
    <w:name w:val="Intense Reference"/>
    <w:basedOn w:val="DefaultParagraphFont"/>
    <w:uiPriority w:val="32"/>
    <w:qFormat/>
    <w:rsid w:val="004F35DF"/>
    <w:rPr>
      <w:b/>
      <w:bCs/>
      <w:smallCaps/>
      <w:color w:val="auto"/>
      <w:spacing w:val="5"/>
      <w:u w:val="single"/>
    </w:rPr>
  </w:style>
  <w:style w:type="paragraph" w:customStyle="1" w:styleId="2ColumnHeading">
    <w:name w:val="2Column Heading"/>
    <w:basedOn w:val="BodyText"/>
    <w:qFormat/>
    <w:rsid w:val="004F35DF"/>
    <w:pPr>
      <w:spacing w:after="60"/>
      <w:ind w:left="-2268"/>
    </w:pPr>
    <w:rPr>
      <w:b/>
    </w:rPr>
  </w:style>
  <w:style w:type="paragraph" w:customStyle="1" w:styleId="Heading1TOC">
    <w:name w:val="Heading1 TOC"/>
    <w:basedOn w:val="Normal"/>
    <w:qFormat/>
    <w:rsid w:val="004F35DF"/>
    <w:pPr>
      <w:spacing w:before="240" w:after="120"/>
    </w:pPr>
    <w:rPr>
      <w:rFonts w:ascii="Times New Roman" w:hAnsi="Times New Roman"/>
      <w:b/>
      <w:sz w:val="32"/>
    </w:rPr>
  </w:style>
  <w:style w:type="paragraph" w:customStyle="1" w:styleId="Heading2TOC">
    <w:name w:val="Heading2 TOC"/>
    <w:basedOn w:val="Normal"/>
    <w:qFormat/>
    <w:rsid w:val="004F35DF"/>
    <w:pPr>
      <w:spacing w:before="240" w:after="60"/>
    </w:pPr>
    <w:rPr>
      <w:rFonts w:ascii="Times New Roman" w:hAnsi="Times New Roman"/>
      <w:b/>
      <w:sz w:val="28"/>
    </w:rPr>
  </w:style>
  <w:style w:type="character" w:customStyle="1" w:styleId="Underline">
    <w:name w:val="Underline"/>
    <w:basedOn w:val="DefaultParagraphFont"/>
    <w:qFormat/>
    <w:rsid w:val="004F35DF"/>
    <w:rPr>
      <w:u w:val="single"/>
    </w:rPr>
  </w:style>
  <w:style w:type="character" w:customStyle="1" w:styleId="BoldandItalics">
    <w:name w:val="Bold and Italics"/>
    <w:qFormat/>
    <w:rsid w:val="004F35DF"/>
    <w:rPr>
      <w:b/>
      <w:i/>
      <w:u w:val="none"/>
    </w:rPr>
  </w:style>
  <w:style w:type="paragraph" w:styleId="BalloonText">
    <w:name w:val="Balloon Text"/>
    <w:basedOn w:val="Normal"/>
    <w:link w:val="BalloonTextChar"/>
    <w:rsid w:val="004F35DF"/>
    <w:rPr>
      <w:rFonts w:ascii="Tahoma" w:hAnsi="Tahoma" w:cs="Tahoma"/>
      <w:sz w:val="16"/>
      <w:szCs w:val="16"/>
    </w:rPr>
  </w:style>
  <w:style w:type="character" w:customStyle="1" w:styleId="BalloonTextChar">
    <w:name w:val="Balloon Text Char"/>
    <w:basedOn w:val="DefaultParagraphFont"/>
    <w:link w:val="BalloonText"/>
    <w:rsid w:val="004F35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5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5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5DF"/>
    <w:rPr>
      <w:b/>
      <w:color w:val="660033"/>
      <w:spacing w:val="0"/>
    </w:rPr>
  </w:style>
  <w:style w:type="paragraph" w:customStyle="1" w:styleId="Nameditemlist">
    <w:name w:val="Named item list"/>
    <w:basedOn w:val="BodyText"/>
    <w:qFormat/>
    <w:rsid w:val="004F35DF"/>
    <w:pPr>
      <w:tabs>
        <w:tab w:val="left" w:pos="2835"/>
      </w:tabs>
      <w:ind w:left="2835" w:hanging="2835"/>
    </w:pPr>
  </w:style>
  <w:style w:type="paragraph" w:customStyle="1" w:styleId="BodyTextnopadding">
    <w:name w:val="Body Text no padding"/>
    <w:basedOn w:val="BodyText"/>
    <w:qFormat/>
    <w:rsid w:val="004F35DF"/>
    <w:pPr>
      <w:spacing w:before="0" w:after="0"/>
    </w:pPr>
  </w:style>
  <w:style w:type="paragraph" w:customStyle="1" w:styleId="BodyTextBold">
    <w:name w:val="Body Text Bold"/>
    <w:basedOn w:val="BodyText"/>
    <w:qFormat/>
    <w:rsid w:val="004F35DF"/>
    <w:rPr>
      <w:b/>
    </w:rPr>
  </w:style>
  <w:style w:type="character" w:styleId="Hyperlink">
    <w:name w:val="Hyperlink"/>
    <w:basedOn w:val="DefaultParagraphFont"/>
    <w:uiPriority w:val="99"/>
    <w:unhideWhenUsed/>
    <w:rsid w:val="00030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8555</Characters>
  <Application>Microsoft Office Word</Application>
  <DocSecurity>0</DocSecurity>
  <Lines>316</Lines>
  <Paragraphs>164</Paragraphs>
  <ScaleCrop>false</ScaleCrop>
  <Company>Author-it Software Corporation Ltd.</Company>
  <LinksUpToDate>false</LinksUpToDate>
  <CharactersWithSpaces>9693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UEEEC0070 Troubleshoot faults in television receivers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