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51C" w:rsidP="00D3151C">
      <w:pPr>
        <w:pStyle w:val="Title"/>
      </w:pPr>
      <w:r>
        <w:fldChar w:fldCharType="begin"/>
      </w:r>
      <w:r>
        <w:instrText xml:space="preserve"> TITLE   \* MERGEFORMAT </w:instrText>
      </w:r>
      <w:r>
        <w:fldChar w:fldCharType="separate"/>
      </w:r>
      <w:r>
        <w:t>Assessment Requirements for UEEEC0069 Troubleshoot digital sub-systems</w:t>
      </w:r>
      <w:r>
        <w:fldChar w:fldCharType="end"/>
      </w:r>
    </w:p>
    <w:p w:rsidR="00D3151C" w:rsidP="00D3151C">
      <w:pPr>
        <w:pStyle w:val="Version"/>
        <w:sectPr w:rsidSect="00AE5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6ED" w:rsidP="00AE56ED">
      <w:pPr>
        <w:pStyle w:val="SuperHeading"/>
      </w:pPr>
      <w:r w:rsidRPr="00AE56ED">
        <w:t>Assessment Requirements for UEEEC0069 Troubleshoot digital sub-systems</w:t>
      </w:r>
    </w:p>
    <w:p w:rsidR="00000000" w:rsidRPr="00AE56ED" w:rsidP="00AE56ED">
      <w:pPr>
        <w:pStyle w:val="Heading1"/>
      </w:pPr>
      <w:bookmarkStart w:id="1" w:name="O_1081063"/>
      <w:bookmarkEnd w:id="1"/>
      <w:r w:rsidRPr="00AE56ED">
        <w:t>Modification History</w:t>
      </w:r>
    </w:p>
    <w:tbl>
      <w:tblPr>
        <w:tblW w:w="9497" w:type="dxa"/>
        <w:tblLayout w:type="fixed"/>
        <w:tblCellMar>
          <w:left w:w="62" w:type="dxa"/>
          <w:right w:w="62" w:type="dxa"/>
        </w:tblCellMar>
        <w:tblLook w:val="0000"/>
      </w:tblPr>
      <w:tblGrid>
        <w:gridCol w:w="9497"/>
      </w:tblGrid>
      <w:tr w:rsidTr="00AE56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6ED" w:rsidP="00AE56ED">
            <w:pPr>
              <w:pStyle w:val="BodyText"/>
            </w:pPr>
            <w:r w:rsidRPr="00AE56ED">
              <w:t>Release 1. This is the first release of this unit of competency in the UEE Electrotechnology Training Package.</w:t>
            </w:r>
          </w:p>
        </w:tc>
      </w:tr>
    </w:tbl>
    <w:p w:rsidR="00000000" w:rsidRPr="00AE56ED" w:rsidP="00AE56ED">
      <w:pPr>
        <w:pStyle w:val="NoPaddingFontSize1"/>
      </w:pPr>
    </w:p>
    <w:p w:rsidR="00000000" w:rsidRPr="00AE56ED" w:rsidP="00AE56ED">
      <w:pPr>
        <w:pStyle w:val="AllowPageBreak"/>
      </w:pPr>
    </w:p>
    <w:p w:rsidR="00000000" w:rsidRPr="00AE56ED" w:rsidP="00AE56ED">
      <w:pPr>
        <w:pStyle w:val="Heading1"/>
      </w:pPr>
      <w:bookmarkStart w:id="2" w:name="O_1081065"/>
      <w:bookmarkEnd w:id="2"/>
      <w:r w:rsidRPr="00AE56ED">
        <w:t>Performance Evidence</w:t>
      </w:r>
    </w:p>
    <w:tbl>
      <w:tblPr>
        <w:tblW w:w="9497" w:type="dxa"/>
        <w:tblLayout w:type="fixed"/>
        <w:tblCellMar>
          <w:left w:w="62" w:type="dxa"/>
          <w:right w:w="62" w:type="dxa"/>
        </w:tblCellMar>
        <w:tblLook w:val="0000"/>
      </w:tblPr>
      <w:tblGrid>
        <w:gridCol w:w="9497"/>
      </w:tblGrid>
      <w:tr w:rsidTr="00AE56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56ED">
            <w:pPr>
              <w:pStyle w:val="BodyText"/>
              <w:rPr>
                <w:lang w:val="en-NZ"/>
              </w:rPr>
            </w:pPr>
            <w:r w:rsidRPr="00AE56ED">
              <w:t xml:space="preserve">Evidence required to demonstrate competence in this unit must be relevant to and satisfy all of the requirements of the elements, performance criteria and range of conditions on at least two separate occasions and include: </w:t>
            </w:r>
          </w:p>
        </w:tc>
      </w:tr>
      <w:tr w:rsidTr="00AE56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6ED" w:rsidP="00AE56ED">
            <w:pPr>
              <w:pStyle w:val="ListBullet"/>
            </w:pPr>
            <w:r w:rsidRPr="00AE56ED">
              <w:t xml:space="preserve">applying </w:t>
            </w:r>
            <w:r w:rsidRPr="00AE56ED">
              <w:t>relevant work health and safety (WHS)/occupational health and safety (OHS) requirements, including:</w:t>
            </w:r>
          </w:p>
          <w:p w:rsidR="00000000" w:rsidRPr="00AE56ED" w:rsidP="00AE56ED">
            <w:pPr>
              <w:pStyle w:val="ListBullet2"/>
            </w:pPr>
            <w:r w:rsidRPr="00AE56ED">
              <w:t>using risk control measures</w:t>
            </w:r>
          </w:p>
          <w:p w:rsidR="00000000" w:rsidRPr="00AE56ED" w:rsidP="00AE56ED">
            <w:pPr>
              <w:pStyle w:val="ListBullet"/>
            </w:pPr>
            <w:r w:rsidRPr="00AE56ED">
              <w:t>calculating parameters correctly and accurately</w:t>
            </w:r>
          </w:p>
          <w:p w:rsidR="00000000" w:rsidRPr="00AE56ED" w:rsidP="00AE56ED">
            <w:pPr>
              <w:pStyle w:val="ListBullet"/>
            </w:pPr>
            <w:r w:rsidRPr="00AE56ED">
              <w:t>carrying out fault-finding activities without waste and damage to materials, apparatus, environment or services</w:t>
            </w:r>
          </w:p>
          <w:p w:rsidR="00000000" w:rsidRPr="00AE56ED" w:rsidP="00AE56ED">
            <w:pPr>
              <w:pStyle w:val="ListBullet"/>
            </w:pPr>
            <w:r w:rsidRPr="00AE56ED">
              <w:t>checking and isolating circuits</w:t>
            </w:r>
          </w:p>
          <w:p w:rsidR="00000000" w:rsidRPr="00AE56ED" w:rsidP="00AE56ED">
            <w:pPr>
              <w:pStyle w:val="ListBullet"/>
            </w:pPr>
            <w:r w:rsidRPr="00AE56ED">
              <w:t>dealing with unplanned situations safely and with approval of relevant person/s</w:t>
            </w:r>
          </w:p>
          <w:p w:rsidR="00000000" w:rsidRPr="00AE56ED" w:rsidP="00AE56ED">
            <w:pPr>
              <w:pStyle w:val="ListBullet"/>
            </w:pPr>
            <w:r w:rsidRPr="00AE56ED">
              <w:t xml:space="preserve">determining sources of material </w:t>
            </w:r>
            <w:r w:rsidRPr="00AE56ED">
              <w:t>required for work</w:t>
            </w:r>
          </w:p>
          <w:p w:rsidR="00000000" w:rsidRPr="00AE56ED" w:rsidP="00AE56ED">
            <w:pPr>
              <w:pStyle w:val="ListBullet"/>
            </w:pPr>
            <w:r w:rsidRPr="00AE56ED">
              <w:t>measuring and calculating values of parameters in fault finding</w:t>
            </w:r>
          </w:p>
          <w:p w:rsidR="00000000" w:rsidRPr="00AE56ED" w:rsidP="00AE56ED">
            <w:pPr>
              <w:pStyle w:val="ListBullet"/>
            </w:pPr>
            <w:r w:rsidRPr="00AE56ED">
              <w:t>obtaining and checking tools, equipment and testing devices for correct operation and safety</w:t>
            </w:r>
          </w:p>
          <w:p w:rsidR="00000000" w:rsidRPr="00AE56ED" w:rsidP="00AE56ED">
            <w:pPr>
              <w:pStyle w:val="ListBullet"/>
            </w:pPr>
            <w:r w:rsidRPr="00AE56ED">
              <w:t>obtaining scope of fault from documentation and/or work supervisor</w:t>
            </w:r>
          </w:p>
          <w:p w:rsidR="00000000" w:rsidRPr="00AE56ED" w:rsidP="00AE56ED">
            <w:pPr>
              <w:pStyle w:val="ListBullet"/>
            </w:pPr>
            <w:r w:rsidRPr="00AE56ED">
              <w:t>preparing to t</w:t>
            </w:r>
            <w:r w:rsidRPr="00AE56ED">
              <w:t>roubleshoot digital sub-systems</w:t>
            </w:r>
          </w:p>
          <w:p w:rsidR="00000000" w:rsidRPr="00AE56ED" w:rsidP="00AE56ED">
            <w:pPr>
              <w:pStyle w:val="ListBullet"/>
            </w:pPr>
            <w:r w:rsidRPr="00AE56ED">
              <w:t>seeking advice from work supervisor to ensure work is coordinated</w:t>
            </w:r>
          </w:p>
          <w:p w:rsidR="00000000" w:rsidRPr="00AE56ED" w:rsidP="00AE56ED">
            <w:pPr>
              <w:pStyle w:val="ListBullet"/>
            </w:pPr>
            <w:r w:rsidRPr="00AE56ED">
              <w:t>testing and measuring live circuits</w:t>
            </w:r>
          </w:p>
          <w:p w:rsidR="00000000" w:rsidRPr="00AE56ED" w:rsidP="00AE56ED">
            <w:pPr>
              <w:pStyle w:val="ListBullet"/>
            </w:pPr>
            <w:r w:rsidRPr="00AE56ED">
              <w:t>troubleshooting digital sub-systems</w:t>
            </w:r>
          </w:p>
          <w:p w:rsidR="00000000" w:rsidRPr="00AE56ED" w:rsidP="00AE56ED">
            <w:pPr>
              <w:pStyle w:val="ListBullet"/>
            </w:pPr>
            <w:r w:rsidRPr="00AE56ED">
              <w:t>using sustainable energy practices.</w:t>
            </w:r>
          </w:p>
        </w:tc>
      </w:tr>
    </w:tbl>
    <w:p w:rsidR="00000000" w:rsidRPr="00AE56ED" w:rsidP="00AE56ED">
      <w:pPr>
        <w:pStyle w:val="NoPaddingFontSize1"/>
      </w:pPr>
    </w:p>
    <w:p w:rsidR="00000000" w:rsidRPr="00AE56ED" w:rsidP="00AE56ED">
      <w:pPr>
        <w:pStyle w:val="AllowPageBreak"/>
      </w:pPr>
    </w:p>
    <w:p w:rsidR="00000000" w:rsidRPr="00AE56ED" w:rsidP="00AE56ED">
      <w:pPr>
        <w:pStyle w:val="Heading1"/>
      </w:pPr>
      <w:bookmarkStart w:id="3" w:name="O_1081067"/>
      <w:bookmarkEnd w:id="3"/>
      <w:r w:rsidRPr="00AE56ED">
        <w:t>Knowledge Evidence</w:t>
      </w:r>
    </w:p>
    <w:tbl>
      <w:tblPr>
        <w:tblW w:w="9497" w:type="dxa"/>
        <w:tblLayout w:type="fixed"/>
        <w:tblCellMar>
          <w:left w:w="62" w:type="dxa"/>
          <w:right w:w="62" w:type="dxa"/>
        </w:tblCellMar>
        <w:tblLook w:val="0000"/>
      </w:tblPr>
      <w:tblGrid>
        <w:gridCol w:w="9497"/>
      </w:tblGrid>
      <w:tr w:rsidTr="00AE56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56ED">
            <w:pPr>
              <w:pStyle w:val="BodyText"/>
              <w:rPr>
                <w:lang w:val="en-NZ"/>
              </w:rPr>
            </w:pPr>
            <w:r w:rsidRPr="00AE56ED">
              <w:t xml:space="preserve">Evidence required to demonstrate competence in this unit must be relevant to and satisfy all of the requirements of the elements, performance criteria and range of conditions and include knowledge of: </w:t>
            </w:r>
          </w:p>
        </w:tc>
      </w:tr>
      <w:tr w:rsidTr="00AE56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6ED" w:rsidP="00AE56ED">
            <w:pPr>
              <w:pStyle w:val="ListBullet"/>
            </w:pPr>
            <w:r w:rsidRPr="00AE56ED">
              <w:t>analogue and digital signals</w:t>
            </w:r>
          </w:p>
          <w:p w:rsidR="00000000" w:rsidRPr="00AE56ED" w:rsidP="00AE56ED">
            <w:pPr>
              <w:pStyle w:val="ListBullet"/>
            </w:pPr>
            <w:r w:rsidRPr="00AE56ED">
              <w:t>binary addition and sub</w:t>
            </w:r>
            <w:r w:rsidRPr="00AE56ED">
              <w:t>traction</w:t>
            </w:r>
          </w:p>
          <w:p w:rsidR="00000000" w:rsidRPr="00AE56ED" w:rsidP="00AE56ED">
            <w:pPr>
              <w:pStyle w:val="ListBullet"/>
            </w:pPr>
            <w:r w:rsidRPr="00AE56ED">
              <w:t>combinational logic circuits, including logic gate types and characteristics, truth tables and logic gate operation</w:t>
            </w:r>
          </w:p>
          <w:p w:rsidR="00000000" w:rsidRPr="00AE56ED" w:rsidP="00AE56ED">
            <w:pPr>
              <w:pStyle w:val="ListBullet"/>
            </w:pPr>
            <w:r w:rsidRPr="00AE56ED">
              <w:t xml:space="preserve">digital building blocks, including clocks, multiplexers and demultiplexers, encoders and </w:t>
            </w:r>
            <w:r w:rsidRPr="00AE56ED">
              <w:t>decoders, counters, flip-flops, latches an</w:t>
            </w:r>
            <w:r w:rsidRPr="00AE56ED">
              <w:t>d registers</w:t>
            </w:r>
          </w:p>
          <w:p w:rsidR="00000000" w:rsidRPr="00AE56ED" w:rsidP="00AE56ED">
            <w:pPr>
              <w:pStyle w:val="ListBullet"/>
            </w:pPr>
            <w:r w:rsidRPr="00AE56ED">
              <w:t>digital displays, including liquid-crystal display (LCD) and 7-segment</w:t>
            </w:r>
          </w:p>
          <w:p w:rsidR="00000000" w:rsidRPr="00AE56ED" w:rsidP="00AE56ED">
            <w:pPr>
              <w:pStyle w:val="ListBullet"/>
            </w:pPr>
            <w:r w:rsidRPr="00AE56ED">
              <w:t>digital fault-finding principles</w:t>
            </w:r>
          </w:p>
          <w:p w:rsidR="00000000" w:rsidRPr="00AE56ED" w:rsidP="00AE56ED">
            <w:pPr>
              <w:pStyle w:val="ListBullet"/>
            </w:pPr>
            <w:r w:rsidRPr="00AE56ED">
              <w:t>digital numbering schemes, including binary, hexadecimal, binary-coded decimal (BCD), American Standard Code for Information Interchange (AS</w:t>
            </w:r>
            <w:r w:rsidRPr="00AE56ED">
              <w:t>CII) and Unicode</w:t>
            </w:r>
          </w:p>
          <w:p w:rsidR="00000000" w:rsidRPr="00AE56ED" w:rsidP="00AE56ED">
            <w:pPr>
              <w:pStyle w:val="ListBullet"/>
            </w:pPr>
            <w:r w:rsidRPr="00AE56ED">
              <w:t>digital sub-system building blocks</w:t>
            </w:r>
          </w:p>
          <w:p w:rsidR="00000000" w:rsidRPr="00AE56ED" w:rsidP="00AE56ED">
            <w:pPr>
              <w:pStyle w:val="ListBullet"/>
            </w:pPr>
            <w:r w:rsidRPr="00AE56ED">
              <w:t xml:space="preserve">electrostatic precautions when handling devices, </w:t>
            </w:r>
          </w:p>
          <w:p w:rsidR="00000000" w:rsidRPr="00AE56ED" w:rsidP="00AE56ED">
            <w:pPr>
              <w:pStyle w:val="ListBullet"/>
            </w:pPr>
            <w:r w:rsidRPr="00AE56ED">
              <w:t>logic families (CMOS and transistor-transistor logic (TTL)), including comparisons, input and output types, unit load and noise margin</w:t>
            </w:r>
          </w:p>
          <w:p w:rsidR="00000000" w:rsidRPr="00AE56ED" w:rsidP="00AE56ED">
            <w:pPr>
              <w:pStyle w:val="ListBullet"/>
            </w:pPr>
            <w:r w:rsidRPr="00AE56ED">
              <w:t>numbering systems, including conversions</w:t>
            </w:r>
          </w:p>
          <w:p w:rsidR="00000000" w:rsidRPr="00AE56ED" w:rsidP="00AE56ED">
            <w:pPr>
              <w:pStyle w:val="ListBullet"/>
            </w:pPr>
            <w:r w:rsidRPr="00AE56ED">
              <w:t>principles of analogue-to-digital and digital-to-analogue conversion</w:t>
            </w:r>
          </w:p>
          <w:p w:rsidR="00000000" w:rsidRPr="00AE56ED" w:rsidP="00AE56ED">
            <w:pPr>
              <w:pStyle w:val="ListBullet"/>
            </w:pPr>
            <w:r w:rsidRPr="00AE56ED">
              <w:t>problem-solving techniques</w:t>
            </w:r>
          </w:p>
          <w:p w:rsidR="00000000" w:rsidRPr="00AE56ED" w:rsidP="00AE56ED">
            <w:pPr>
              <w:pStyle w:val="ListBullet"/>
            </w:pPr>
            <w:r w:rsidRPr="00AE56ED">
              <w:t>relevant checking and isolating circuit methods</w:t>
            </w:r>
          </w:p>
          <w:p w:rsidR="00000000" w:rsidRPr="00AE56ED" w:rsidP="00AE56ED">
            <w:pPr>
              <w:pStyle w:val="ListBullet"/>
            </w:pPr>
            <w:r w:rsidRPr="00AE56ED">
              <w:t>relevant circuit measurements and parameter values calculations</w:t>
            </w:r>
          </w:p>
          <w:p w:rsidR="00000000" w:rsidRPr="00AE56ED" w:rsidP="00AE56ED">
            <w:pPr>
              <w:pStyle w:val="ListBullet"/>
            </w:pPr>
            <w:r w:rsidRPr="00AE56ED">
              <w:t>relevan</w:t>
            </w:r>
            <w:r w:rsidRPr="00AE56ED">
              <w:t>t digital sub-systems</w:t>
            </w:r>
          </w:p>
          <w:p w:rsidR="00000000" w:rsidRPr="00AE56ED" w:rsidP="00AE56ED">
            <w:pPr>
              <w:pStyle w:val="ListBullet"/>
            </w:pPr>
            <w:r w:rsidRPr="00AE56ED">
              <w:t>relevant industry standards</w:t>
            </w:r>
          </w:p>
          <w:p w:rsidR="00000000" w:rsidRPr="00AE56ED" w:rsidP="00AE56ED">
            <w:pPr>
              <w:pStyle w:val="ListBullet"/>
            </w:pPr>
            <w:r w:rsidRPr="00AE56ED">
              <w:t>relevant job safety assessments or risk mitigation processes</w:t>
            </w:r>
          </w:p>
          <w:p w:rsidR="00000000" w:rsidRPr="00AE56ED" w:rsidP="00AE56ED">
            <w:pPr>
              <w:pStyle w:val="ListBullet"/>
            </w:pPr>
            <w:r w:rsidRPr="00AE56ED">
              <w:t>relevant manufacturer specifications and operating instructions</w:t>
            </w:r>
          </w:p>
          <w:p w:rsidR="00000000" w:rsidRPr="00AE56ED" w:rsidP="00AE56ED">
            <w:pPr>
              <w:pStyle w:val="ListBullet"/>
            </w:pPr>
            <w:r w:rsidRPr="00AE56ED">
              <w:t>relevant materials, tools, equipment and testing devices</w:t>
            </w:r>
          </w:p>
          <w:p w:rsidR="00000000" w:rsidRPr="00AE56ED" w:rsidP="00AE56ED">
            <w:pPr>
              <w:pStyle w:val="ListBullet"/>
            </w:pPr>
            <w:r w:rsidRPr="00AE56ED">
              <w:t>relevant testing and mea</w:t>
            </w:r>
            <w:r w:rsidRPr="00AE56ED">
              <w:t>suring methods</w:t>
            </w:r>
          </w:p>
          <w:p w:rsidR="00000000" w:rsidRPr="00AE56ED" w:rsidP="00AE56ED">
            <w:pPr>
              <w:pStyle w:val="ListBullet"/>
            </w:pPr>
            <w:r w:rsidRPr="00AE56ED">
              <w:t>relevant WHS/OHS legislated requirements</w:t>
            </w:r>
          </w:p>
          <w:p w:rsidR="00000000" w:rsidRPr="00AE56ED" w:rsidP="00AE56ED">
            <w:pPr>
              <w:pStyle w:val="ListBullet"/>
            </w:pPr>
            <w:r w:rsidRPr="00AE56ED">
              <w:t>relevant workplace documentation</w:t>
            </w:r>
          </w:p>
          <w:p w:rsidR="00000000" w:rsidRPr="00AE56ED" w:rsidP="00AE56ED">
            <w:pPr>
              <w:pStyle w:val="ListBullet"/>
            </w:pPr>
            <w:r w:rsidRPr="00AE56ED">
              <w:t>relevant workplace instructions, policies and procedures, including handling sensitive electronic components</w:t>
            </w:r>
          </w:p>
          <w:p w:rsidR="00000000" w:rsidRPr="00AE56ED" w:rsidP="00AE56ED">
            <w:pPr>
              <w:pStyle w:val="ListBullet"/>
            </w:pPr>
            <w:r w:rsidRPr="00AE56ED">
              <w:t>sustainable energy principles.</w:t>
            </w:r>
          </w:p>
        </w:tc>
      </w:tr>
    </w:tbl>
    <w:p w:rsidR="00000000" w:rsidRPr="00AE56ED" w:rsidP="00AE56ED">
      <w:pPr>
        <w:pStyle w:val="NoPaddingFontSize1"/>
      </w:pPr>
    </w:p>
    <w:p w:rsidR="00000000" w:rsidRPr="00AE56ED" w:rsidP="00AE56ED">
      <w:pPr>
        <w:pStyle w:val="AllowPageBreak"/>
      </w:pPr>
    </w:p>
    <w:p w:rsidR="00000000" w:rsidRPr="00AE56ED" w:rsidP="00AE56ED">
      <w:pPr>
        <w:pStyle w:val="Heading1"/>
      </w:pPr>
      <w:bookmarkStart w:id="4" w:name="O_1081069"/>
      <w:bookmarkEnd w:id="4"/>
      <w:r w:rsidRPr="00AE56ED">
        <w:t>Assessment Conditions</w:t>
      </w:r>
    </w:p>
    <w:tbl>
      <w:tblPr>
        <w:tblW w:w="9497" w:type="dxa"/>
        <w:tblLayout w:type="fixed"/>
        <w:tblCellMar>
          <w:left w:w="62" w:type="dxa"/>
          <w:right w:w="62" w:type="dxa"/>
        </w:tblCellMar>
        <w:tblLook w:val="0000"/>
      </w:tblPr>
      <w:tblGrid>
        <w:gridCol w:w="9497"/>
      </w:tblGrid>
      <w:tr w:rsidTr="00AE56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56ED" w:rsidP="00AE56ED">
            <w:pPr>
              <w:pStyle w:val="BodyText"/>
            </w:pPr>
            <w:r w:rsidRPr="00AE56ED">
              <w:t xml:space="preserve">Assessors must hold credentials specified within the Standards for Registered Training Organisations current at the time of assessment. </w:t>
            </w:r>
          </w:p>
          <w:p w:rsidR="00000000" w:rsidRPr="00AE56ED" w:rsidP="00AE56ED">
            <w:pPr>
              <w:pStyle w:val="BodyText"/>
            </w:pPr>
            <w:r w:rsidRPr="00AE56ED">
              <w:t>Assessment must satisfy the Principles of Assessment and Rules of Evidence and all regulatory req</w:t>
            </w:r>
            <w:r w:rsidRPr="00AE56ED">
              <w:t>uirements included within the Standards for Registered Training Organisations current at the time of assessment.</w:t>
            </w:r>
          </w:p>
          <w:p w:rsidR="00000000" w:rsidRPr="00AE56ED" w:rsidP="00AE56ED">
            <w:pPr>
              <w:pStyle w:val="BodyText"/>
            </w:pPr>
            <w:r w:rsidRPr="00AE56ED">
              <w:t xml:space="preserve">Assessment must occur in suitable workplace operational situations where it is appropriate to do so; where this is not appropriate, assessment </w:t>
            </w:r>
            <w:r w:rsidRPr="00AE56ED">
              <w:t>must occur in simulated suitable workplace operational situations that replicate workplace conditions.</w:t>
            </w:r>
          </w:p>
          <w:p w:rsidR="00000000" w:rsidRPr="00AE56ED" w:rsidP="00AE56ED">
            <w:pPr>
              <w:pStyle w:val="BodyText"/>
            </w:pPr>
            <w:r w:rsidRPr="00AE56ED">
              <w:t xml:space="preserve">Assessment processes and techniques must be appropriate to the language, literacy and numeracy requirements of the work being performed and the needs of </w:t>
            </w:r>
            <w:r w:rsidRPr="00AE56ED">
              <w:t>the candidate.</w:t>
            </w:r>
          </w:p>
          <w:p w:rsidR="00000000" w:rsidRPr="00AE56ED" w:rsidP="00AE56ED">
            <w:pPr>
              <w:pStyle w:val="BodyText"/>
            </w:pPr>
            <w:r w:rsidRPr="00AE56ED">
              <w:t>Resources for assessment must include access to:</w:t>
            </w:r>
          </w:p>
          <w:p w:rsidR="00000000" w:rsidRPr="00AE56ED" w:rsidP="00AE56ED">
            <w:pPr>
              <w:pStyle w:val="ListBullet"/>
            </w:pPr>
            <w:r w:rsidRPr="00AE56ED">
              <w:t>a range of relevant exercises, case studies and/or simulations</w:t>
            </w:r>
          </w:p>
          <w:p w:rsidR="00000000" w:rsidRPr="00AE56ED" w:rsidP="00AE56ED">
            <w:pPr>
              <w:pStyle w:val="ListBullet"/>
            </w:pPr>
            <w:r w:rsidRPr="00AE56ED">
              <w:t xml:space="preserve">relevant and appropriate materials, tools, facilities, equipment and relevant industry standards currently used in industry </w:t>
            </w:r>
          </w:p>
          <w:p w:rsidR="00000000" w:rsidRPr="00AE56ED" w:rsidP="00AE56ED">
            <w:pPr>
              <w:pStyle w:val="ListBullet"/>
            </w:pPr>
            <w:r w:rsidRPr="00AE56ED">
              <w:t>res</w:t>
            </w:r>
            <w:r w:rsidRPr="00AE56ED">
              <w:t>ources that reflect current industry practices in relation to troubleshooting digital sub-systems</w:t>
            </w:r>
          </w:p>
          <w:p w:rsidR="00000000" w:rsidRPr="00AE56ED" w:rsidP="00AE56ED">
            <w:pPr>
              <w:pStyle w:val="ListBullet"/>
            </w:pPr>
            <w:r w:rsidRPr="00AE56ED">
              <w:t>applicable documentation, including workplace procedures, equipment specifications, regulations, codes of practice and operation manuals.</w:t>
            </w:r>
          </w:p>
        </w:tc>
      </w:tr>
    </w:tbl>
    <w:p w:rsidR="00000000" w:rsidRPr="00AE56ED" w:rsidP="00AE56ED">
      <w:pPr>
        <w:pStyle w:val="NoPaddingFontSize1"/>
      </w:pPr>
    </w:p>
    <w:p w:rsidR="00000000" w:rsidRPr="00AE56ED" w:rsidP="00AE56ED">
      <w:pPr>
        <w:pStyle w:val="AllowPageBreak"/>
      </w:pPr>
    </w:p>
    <w:p w:rsidR="00000000" w:rsidRPr="00AE56ED" w:rsidP="00AE56ED">
      <w:pPr>
        <w:pStyle w:val="Heading1"/>
      </w:pPr>
      <w:bookmarkStart w:id="5" w:name="O_1081085"/>
      <w:bookmarkEnd w:id="5"/>
      <w:r w:rsidRPr="00AE56ED">
        <w:t>Links</w:t>
      </w:r>
    </w:p>
    <w:p w:rsidR="00000000" w:rsidRPr="00AE56ED" w:rsidP="00D3151C">
      <w:pPr>
        <w:pStyle w:val="BodyText"/>
      </w:pPr>
      <w:r w:rsidRPr="00AE56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60C9C">
        <w:rPr>
          <w:rStyle w:val="Hyperlink"/>
        </w:rPr>
        <w:t>https://vetnet.gov.au/Pages/TrainingDocs.aspx?q=b8a8f136-5421-4ce1-92e0-2b50341431b6</w:t>
      </w:r>
      <w:r>
        <w:fldChar w:fldCharType="end"/>
      </w:r>
    </w:p>
    <w:p w:rsidR="00000000" w:rsidRPr="00AE56ED" w:rsidP="00AE56ED"/>
    <w:sectPr w:rsidSect="00AE56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6ED" w:rsidRPr="00D3151C" w:rsidP="00D31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51C" w:rsidP="00AE5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51C" w:rsidP="00AE56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151C" w:rsidP="00AE5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6ED" w:rsidRPr="00D3151C" w:rsidP="00D31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51C" w:rsidRPr="002D2AF8" w:rsidP="00AE56ED">
    <w:pPr>
      <w:pStyle w:val="Header"/>
      <w:framePr w:wrap="around"/>
    </w:pPr>
    <w:r>
      <w:fldChar w:fldCharType="begin"/>
    </w:r>
    <w:r>
      <w:instrText xml:space="preserve"> TITLE   \* MERGEFORMAT </w:instrText>
    </w:r>
    <w:r>
      <w:fldChar w:fldCharType="separate"/>
    </w:r>
    <w:r>
      <w:t>Assessment Requirements for UEEEC0069 Troubleshoot digital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3151C" w:rsidP="00AE5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2E4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0C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0C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6ED"/>
    <w:pPr>
      <w:spacing w:before="360" w:after="60"/>
      <w:outlineLvl w:val="0"/>
    </w:pPr>
    <w:rPr>
      <w:sz w:val="32"/>
    </w:rPr>
  </w:style>
  <w:style w:type="paragraph" w:styleId="Heading2">
    <w:name w:val="heading 2"/>
    <w:basedOn w:val="HeadingBase"/>
    <w:next w:val="BodyText"/>
    <w:link w:val="Heading2Char"/>
    <w:qFormat/>
    <w:rsid w:val="00AE56ED"/>
    <w:pPr>
      <w:keepLines/>
      <w:spacing w:before="240" w:after="120"/>
      <w:outlineLvl w:val="1"/>
    </w:pPr>
    <w:rPr>
      <w:sz w:val="28"/>
      <w:szCs w:val="40"/>
    </w:rPr>
  </w:style>
  <w:style w:type="paragraph" w:styleId="Heading3">
    <w:name w:val="heading 3"/>
    <w:basedOn w:val="HeadingBase"/>
    <w:next w:val="BodyText"/>
    <w:link w:val="Heading3Char"/>
    <w:qFormat/>
    <w:rsid w:val="00AE56ED"/>
    <w:pPr>
      <w:spacing w:before="180" w:after="120"/>
      <w:outlineLvl w:val="2"/>
    </w:pPr>
    <w:rPr>
      <w:spacing w:val="-10"/>
      <w:kern w:val="32"/>
    </w:rPr>
  </w:style>
  <w:style w:type="paragraph" w:styleId="Heading4">
    <w:name w:val="heading 4"/>
    <w:basedOn w:val="HeadingBase"/>
    <w:next w:val="BodyText"/>
    <w:link w:val="Heading4Char"/>
    <w:qFormat/>
    <w:rsid w:val="00AE56ED"/>
    <w:pPr>
      <w:spacing w:before="160" w:after="120"/>
      <w:outlineLvl w:val="3"/>
    </w:pPr>
    <w:rPr>
      <w:sz w:val="22"/>
    </w:rPr>
  </w:style>
  <w:style w:type="paragraph" w:styleId="Heading5">
    <w:name w:val="heading 5"/>
    <w:basedOn w:val="HeadingBase"/>
    <w:next w:val="Normal"/>
    <w:link w:val="Heading5Char"/>
    <w:qFormat/>
    <w:rsid w:val="00AE56ED"/>
    <w:pPr>
      <w:spacing w:before="80"/>
      <w:outlineLvl w:val="4"/>
    </w:pPr>
    <w:rPr>
      <w:color w:val="918585"/>
      <w:sz w:val="20"/>
    </w:rPr>
  </w:style>
  <w:style w:type="paragraph" w:styleId="Heading6">
    <w:name w:val="heading 6"/>
    <w:basedOn w:val="HeadingBase"/>
    <w:next w:val="Normal"/>
    <w:link w:val="Heading6Char"/>
    <w:qFormat/>
    <w:rsid w:val="00AE56ED"/>
    <w:pPr>
      <w:spacing w:before="60"/>
      <w:outlineLvl w:val="5"/>
    </w:pPr>
    <w:rPr>
      <w:color w:val="918585"/>
      <w:sz w:val="20"/>
    </w:rPr>
  </w:style>
  <w:style w:type="paragraph" w:styleId="Heading7">
    <w:name w:val="heading 7"/>
    <w:basedOn w:val="Normal"/>
    <w:next w:val="Normal"/>
    <w:link w:val="Heading7Char"/>
    <w:qFormat/>
    <w:rsid w:val="00AE56ED"/>
    <w:pPr>
      <w:ind w:left="720"/>
      <w:outlineLvl w:val="6"/>
    </w:pPr>
    <w:rPr>
      <w:i/>
    </w:rPr>
  </w:style>
  <w:style w:type="paragraph" w:styleId="Heading8">
    <w:name w:val="heading 8"/>
    <w:basedOn w:val="Normal"/>
    <w:next w:val="Normal"/>
    <w:link w:val="Heading8Char"/>
    <w:qFormat/>
    <w:rsid w:val="00AE56ED"/>
    <w:pPr>
      <w:ind w:left="720"/>
      <w:outlineLvl w:val="7"/>
    </w:pPr>
    <w:rPr>
      <w:i/>
    </w:rPr>
  </w:style>
  <w:style w:type="paragraph" w:styleId="Heading9">
    <w:name w:val="heading 9"/>
    <w:basedOn w:val="Normal"/>
    <w:next w:val="Normal"/>
    <w:link w:val="Heading9Char"/>
    <w:qFormat/>
    <w:rsid w:val="00AE56ED"/>
    <w:pPr>
      <w:ind w:left="720"/>
      <w:outlineLvl w:val="8"/>
    </w:pPr>
    <w:rPr>
      <w:i/>
    </w:rPr>
  </w:style>
  <w:style w:type="character" w:default="1" w:styleId="DefaultParagraphFont">
    <w:name w:val="Default Paragraph Font"/>
    <w:uiPriority w:val="1"/>
    <w:unhideWhenUsed/>
    <w:rsid w:val="00AE5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6ED"/>
  </w:style>
  <w:style w:type="character" w:customStyle="1" w:styleId="Heading1Char">
    <w:name w:val="Heading 1 Char"/>
    <w:basedOn w:val="DefaultParagraphFont"/>
    <w:link w:val="Heading1"/>
    <w:rsid w:val="00AE56ED"/>
    <w:rPr>
      <w:rFonts w:ascii="Times New Roman" w:eastAsia="Times New Roman" w:hAnsi="Times New Roman" w:cs="Times New Roman"/>
      <w:b/>
      <w:sz w:val="32"/>
      <w:szCs w:val="20"/>
      <w:lang w:eastAsia="en-US"/>
    </w:rPr>
  </w:style>
  <w:style w:type="paragraph" w:styleId="BodyText">
    <w:name w:val="Body Text"/>
    <w:basedOn w:val="Normal"/>
    <w:link w:val="BodyTextChar"/>
    <w:rsid w:val="00AE5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6ED"/>
    <w:rPr>
      <w:rFonts w:ascii="Times New Roman" w:eastAsia="Times New Roman" w:hAnsi="Times New Roman" w:cs="Times New Roman"/>
      <w:sz w:val="24"/>
      <w:lang w:eastAsia="en-US"/>
    </w:rPr>
  </w:style>
  <w:style w:type="paragraph" w:styleId="ListBullet">
    <w:name w:val="List Bullet"/>
    <w:basedOn w:val="List"/>
    <w:rsid w:val="00AE56ED"/>
    <w:pPr>
      <w:numPr>
        <w:numId w:val="12"/>
      </w:numPr>
      <w:tabs>
        <w:tab w:val="clear" w:pos="340"/>
      </w:tabs>
      <w:spacing w:before="40" w:after="40"/>
    </w:pPr>
  </w:style>
  <w:style w:type="paragraph" w:styleId="ListBullet2">
    <w:name w:val="List Bullet 2"/>
    <w:basedOn w:val="List2"/>
    <w:rsid w:val="00AE56ED"/>
    <w:pPr>
      <w:numPr>
        <w:numId w:val="13"/>
      </w:numPr>
      <w:tabs>
        <w:tab w:val="clear" w:pos="680"/>
      </w:tabs>
    </w:pPr>
  </w:style>
  <w:style w:type="paragraph" w:customStyle="1" w:styleId="SuperHeading">
    <w:name w:val="SuperHeading"/>
    <w:basedOn w:val="Normal"/>
    <w:rsid w:val="00AE56ED"/>
    <w:pPr>
      <w:spacing w:before="240" w:after="120"/>
      <w:outlineLvl w:val="0"/>
    </w:pPr>
    <w:rPr>
      <w:rFonts w:ascii="Times New Roman" w:hAnsi="Times New Roman"/>
      <w:b/>
      <w:sz w:val="32"/>
    </w:rPr>
  </w:style>
  <w:style w:type="paragraph" w:customStyle="1" w:styleId="AllowPageBreak">
    <w:name w:val="AllowPageBreak"/>
    <w:rsid w:val="00AE56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5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6ED"/>
    <w:rPr>
      <w:rFonts w:ascii="Courier New" w:eastAsia="Times New Roman" w:hAnsi="Courier New" w:cs="Times New Roman"/>
      <w:i/>
      <w:szCs w:val="20"/>
      <w:lang w:eastAsia="en-US"/>
    </w:rPr>
  </w:style>
  <w:style w:type="paragraph" w:customStyle="1" w:styleId="HeadingBase">
    <w:name w:val="Heading Base"/>
    <w:rsid w:val="00AE5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6ED"/>
    <w:pPr>
      <w:tabs>
        <w:tab w:val="right" w:leader="dot" w:pos="9072"/>
      </w:tabs>
      <w:ind w:left="567"/>
    </w:pPr>
    <w:rPr>
      <w:szCs w:val="22"/>
    </w:rPr>
  </w:style>
  <w:style w:type="paragraph" w:customStyle="1" w:styleId="TOCBase">
    <w:name w:val="TOC Base"/>
    <w:rsid w:val="00AE5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6ED"/>
    <w:pPr>
      <w:tabs>
        <w:tab w:val="right" w:leader="dot" w:pos="9072"/>
      </w:tabs>
      <w:spacing w:before="40" w:after="40"/>
      <w:ind w:left="284"/>
    </w:pPr>
    <w:rPr>
      <w:rFonts w:ascii="Times New Roman" w:hAnsi="Times New Roman"/>
    </w:rPr>
  </w:style>
  <w:style w:type="paragraph" w:styleId="TOC1">
    <w:name w:val="toc 1"/>
    <w:basedOn w:val="TOCBase"/>
    <w:next w:val="Normal"/>
    <w:rsid w:val="00AE5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6ED"/>
    <w:rPr>
      <w:rFonts w:ascii="Times New Roman" w:eastAsia="Times New Roman" w:hAnsi="Times New Roman" w:cs="Times New Roman"/>
      <w:sz w:val="16"/>
      <w:lang w:eastAsia="en-US"/>
    </w:rPr>
  </w:style>
  <w:style w:type="paragraph" w:styleId="Title">
    <w:name w:val="Title"/>
    <w:basedOn w:val="HeadingBase"/>
    <w:link w:val="TitleChar"/>
    <w:qFormat/>
    <w:rsid w:val="00AE56ED"/>
    <w:pPr>
      <w:spacing w:before="5040"/>
      <w:jc w:val="center"/>
    </w:pPr>
    <w:rPr>
      <w:sz w:val="48"/>
      <w:szCs w:val="72"/>
      <w:lang w:val="en-US"/>
    </w:rPr>
  </w:style>
  <w:style w:type="character" w:customStyle="1" w:styleId="TitleChar">
    <w:name w:val="Title Char"/>
    <w:basedOn w:val="DefaultParagraphFont"/>
    <w:link w:val="Title"/>
    <w:rsid w:val="00AE5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6ED"/>
    <w:pPr>
      <w:tabs>
        <w:tab w:val="left" w:pos="3600"/>
        <w:tab w:val="left" w:pos="3958"/>
      </w:tabs>
    </w:pPr>
  </w:style>
  <w:style w:type="paragraph" w:styleId="List">
    <w:name w:val="List"/>
    <w:basedOn w:val="BodyText"/>
    <w:next w:val="BodyText"/>
    <w:rsid w:val="00AE56ED"/>
    <w:pPr>
      <w:tabs>
        <w:tab w:val="left" w:pos="340"/>
      </w:tabs>
      <w:spacing w:before="60" w:after="60"/>
      <w:ind w:left="340" w:hanging="340"/>
    </w:pPr>
  </w:style>
  <w:style w:type="paragraph" w:customStyle="1" w:styleId="Note">
    <w:name w:val="Note"/>
    <w:basedOn w:val="BodyText"/>
    <w:rsid w:val="00AE56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56ED"/>
    <w:rPr>
      <w:b/>
      <w:spacing w:val="0"/>
    </w:rPr>
  </w:style>
  <w:style w:type="paragraph" w:customStyle="1" w:styleId="SuperTitle">
    <w:name w:val="SuperTitle"/>
    <w:basedOn w:val="Title"/>
    <w:rsid w:val="00AE56ED"/>
    <w:pPr>
      <w:framePr w:wrap="auto" w:hAnchor="text" w:y="6049"/>
    </w:pPr>
    <w:rPr>
      <w:color w:val="000000"/>
      <w:sz w:val="40"/>
    </w:rPr>
  </w:style>
  <w:style w:type="paragraph" w:customStyle="1" w:styleId="TOCTitle">
    <w:name w:val="TOCTitle"/>
    <w:basedOn w:val="Heading1"/>
    <w:rsid w:val="00AE56ED"/>
    <w:pPr>
      <w:spacing w:after="240"/>
      <w:jc w:val="center"/>
      <w:outlineLvl w:val="9"/>
    </w:pPr>
    <w:rPr>
      <w:caps/>
    </w:rPr>
  </w:style>
  <w:style w:type="paragraph" w:customStyle="1" w:styleId="Version">
    <w:name w:val="Version"/>
    <w:rsid w:val="00AE5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6ED"/>
    <w:pPr>
      <w:keepNext w:val="0"/>
      <w:tabs>
        <w:tab w:val="right" w:pos="4176"/>
      </w:tabs>
      <w:ind w:left="198" w:hanging="198"/>
    </w:pPr>
    <w:rPr>
      <w:rFonts w:ascii="Garamond" w:hAnsi="Garamond"/>
    </w:rPr>
  </w:style>
  <w:style w:type="paragraph" w:styleId="IndexHeading">
    <w:name w:val="index heading"/>
    <w:basedOn w:val="Normal"/>
    <w:next w:val="Index1"/>
    <w:semiHidden/>
    <w:rsid w:val="00AE56ED"/>
    <w:pPr>
      <w:spacing w:before="120" w:after="120"/>
    </w:pPr>
    <w:rPr>
      <w:rFonts w:ascii="Arial" w:hAnsi="Arial"/>
      <w:b/>
      <w:color w:val="918585"/>
      <w:sz w:val="24"/>
    </w:rPr>
  </w:style>
  <w:style w:type="paragraph" w:styleId="Header">
    <w:name w:val="header"/>
    <w:basedOn w:val="Normal"/>
    <w:link w:val="HeaderChar"/>
    <w:rsid w:val="00AE5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6ED"/>
    <w:rPr>
      <w:rFonts w:ascii="Times New Roman" w:eastAsia="Times New Roman" w:hAnsi="Times New Roman" w:cs="Times New Roman"/>
      <w:sz w:val="16"/>
      <w:szCs w:val="20"/>
      <w:lang w:val="en-GB" w:eastAsia="en-US"/>
    </w:rPr>
  </w:style>
  <w:style w:type="paragraph" w:customStyle="1" w:styleId="Chapter">
    <w:name w:val="Chapter"/>
    <w:basedOn w:val="Normal"/>
    <w:rsid w:val="00AE56ED"/>
    <w:pPr>
      <w:spacing w:before="240"/>
    </w:pPr>
    <w:rPr>
      <w:rFonts w:ascii="Times New Roman" w:hAnsi="Times New Roman"/>
      <w:smallCaps/>
      <w:spacing w:val="80"/>
      <w:sz w:val="28"/>
    </w:rPr>
  </w:style>
  <w:style w:type="paragraph" w:customStyle="1" w:styleId="InChapter">
    <w:name w:val="InChapter"/>
    <w:basedOn w:val="Heading3"/>
    <w:rsid w:val="00AE56ED"/>
    <w:pPr>
      <w:spacing w:after="240"/>
      <w:outlineLvl w:val="9"/>
    </w:pPr>
    <w:rPr>
      <w:noProof/>
    </w:rPr>
  </w:style>
  <w:style w:type="paragraph" w:styleId="Index2">
    <w:name w:val="index 2"/>
    <w:basedOn w:val="Normal"/>
    <w:next w:val="Normal"/>
    <w:semiHidden/>
    <w:rsid w:val="00AE56ED"/>
    <w:pPr>
      <w:tabs>
        <w:tab w:val="right" w:pos="4176"/>
      </w:tabs>
      <w:ind w:left="568" w:hanging="284"/>
    </w:pPr>
    <w:rPr>
      <w:rFonts w:ascii="Garamond" w:hAnsi="Garamond"/>
    </w:rPr>
  </w:style>
  <w:style w:type="paragraph" w:customStyle="1" w:styleId="Byline">
    <w:name w:val="Byline"/>
    <w:rsid w:val="00AE5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6ED"/>
    <w:pPr>
      <w:tabs>
        <w:tab w:val="clear" w:pos="3600"/>
        <w:tab w:val="clear" w:pos="3958"/>
      </w:tabs>
      <w:jc w:val="right"/>
    </w:pPr>
  </w:style>
  <w:style w:type="character" w:styleId="Emphasis">
    <w:name w:val="Emphasis"/>
    <w:basedOn w:val="DefaultParagraphFont"/>
    <w:qFormat/>
    <w:rsid w:val="00AE56ED"/>
    <w:rPr>
      <w:i/>
    </w:rPr>
  </w:style>
  <w:style w:type="paragraph" w:styleId="Caption">
    <w:name w:val="caption"/>
    <w:basedOn w:val="BodyText"/>
    <w:next w:val="Normal"/>
    <w:qFormat/>
    <w:rsid w:val="00AE56ED"/>
    <w:pPr>
      <w:framePr w:w="2268" w:hSpace="181" w:vSpace="181" w:wrap="around" w:vAnchor="text" w:hAnchor="page" w:x="1135" w:y="285" w:anchorLock="1"/>
    </w:pPr>
    <w:rPr>
      <w:i/>
    </w:rPr>
  </w:style>
  <w:style w:type="paragraph" w:customStyle="1" w:styleId="MiniTOCTitle">
    <w:name w:val="MiniTOCTitle"/>
    <w:basedOn w:val="Heading4"/>
    <w:rsid w:val="00AE56ED"/>
    <w:pPr>
      <w:spacing w:before="240"/>
      <w:outlineLvl w:val="9"/>
    </w:pPr>
    <w:rPr>
      <w:noProof/>
      <w:sz w:val="24"/>
    </w:rPr>
  </w:style>
  <w:style w:type="paragraph" w:customStyle="1" w:styleId="MiniTOCItem">
    <w:name w:val="MiniTOCItem"/>
    <w:basedOn w:val="ListBullet"/>
    <w:rsid w:val="00AE56ED"/>
    <w:pPr>
      <w:numPr>
        <w:numId w:val="0"/>
      </w:numPr>
      <w:tabs>
        <w:tab w:val="right" w:leader="dot" w:pos="6521"/>
      </w:tabs>
      <w:spacing w:before="0" w:after="0"/>
    </w:pPr>
  </w:style>
  <w:style w:type="paragraph" w:customStyle="1" w:styleId="TOFTitle">
    <w:name w:val="TOFTitle"/>
    <w:basedOn w:val="TOCTitle"/>
    <w:rsid w:val="00AE56ED"/>
  </w:style>
  <w:style w:type="paragraph" w:styleId="TableofFigures">
    <w:name w:val="table of figures"/>
    <w:basedOn w:val="Normal"/>
    <w:next w:val="Normal"/>
    <w:semiHidden/>
    <w:rsid w:val="00AE56ED"/>
    <w:pPr>
      <w:tabs>
        <w:tab w:val="right" w:leader="dot" w:pos="9072"/>
      </w:tabs>
      <w:ind w:left="970" w:hanging="403"/>
    </w:pPr>
    <w:rPr>
      <w:rFonts w:ascii="Times New Roman" w:hAnsi="Times New Roman"/>
      <w:b/>
    </w:rPr>
  </w:style>
  <w:style w:type="paragraph" w:styleId="ListNumber">
    <w:name w:val="List Number"/>
    <w:basedOn w:val="List"/>
    <w:rsid w:val="00AE56ED"/>
    <w:pPr>
      <w:numPr>
        <w:numId w:val="15"/>
      </w:numPr>
      <w:tabs>
        <w:tab w:val="clear" w:pos="340"/>
      </w:tabs>
    </w:pPr>
  </w:style>
  <w:style w:type="character" w:customStyle="1" w:styleId="WingdingSymbols">
    <w:name w:val="Wingding Symbols"/>
    <w:rsid w:val="00AE56ED"/>
    <w:rPr>
      <w:rFonts w:ascii="Wingdings" w:hAnsi="Wingdings"/>
    </w:rPr>
  </w:style>
  <w:style w:type="paragraph" w:customStyle="1" w:styleId="TableHeading">
    <w:name w:val="Table Heading"/>
    <w:basedOn w:val="HeadingBase"/>
    <w:rsid w:val="00AE56ED"/>
    <w:pPr>
      <w:keepLines/>
      <w:pBdr>
        <w:bottom w:val="single" w:sz="6" w:space="1" w:color="918585"/>
      </w:pBdr>
      <w:spacing w:before="240"/>
    </w:pPr>
  </w:style>
  <w:style w:type="character" w:customStyle="1" w:styleId="HotSpot">
    <w:name w:val="HotSpot"/>
    <w:rsid w:val="00AE56ED"/>
    <w:rPr>
      <w:color w:val="0033CC"/>
      <w:u w:val="none"/>
    </w:rPr>
  </w:style>
  <w:style w:type="paragraph" w:customStyle="1" w:styleId="BodyTextRight">
    <w:name w:val="Body Text Right"/>
    <w:basedOn w:val="BodyText"/>
    <w:rsid w:val="00AE56ED"/>
    <w:pPr>
      <w:spacing w:before="0" w:after="0"/>
      <w:jc w:val="right"/>
    </w:pPr>
  </w:style>
  <w:style w:type="paragraph" w:styleId="Index3">
    <w:name w:val="index 3"/>
    <w:basedOn w:val="ListNumber2"/>
    <w:next w:val="Normal"/>
    <w:semiHidden/>
    <w:rsid w:val="00AE56ED"/>
    <w:pPr>
      <w:numPr>
        <w:numId w:val="0"/>
      </w:numPr>
      <w:tabs>
        <w:tab w:val="right" w:leader="dot" w:pos="4176"/>
      </w:tabs>
    </w:pPr>
  </w:style>
  <w:style w:type="paragraph" w:styleId="ListNumber2">
    <w:name w:val="List Number 2"/>
    <w:basedOn w:val="List2"/>
    <w:rsid w:val="00AE56ED"/>
    <w:pPr>
      <w:numPr>
        <w:numId w:val="10"/>
      </w:numPr>
      <w:tabs>
        <w:tab w:val="clear" w:pos="1060"/>
      </w:tabs>
    </w:pPr>
  </w:style>
  <w:style w:type="paragraph" w:customStyle="1" w:styleId="MarginNote">
    <w:name w:val="Margin Note"/>
    <w:basedOn w:val="BodyText"/>
    <w:rsid w:val="00AE5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6ED"/>
    <w:rPr>
      <w:sz w:val="32"/>
    </w:rPr>
  </w:style>
  <w:style w:type="paragraph" w:customStyle="1" w:styleId="HeadingProcedure">
    <w:name w:val="Heading Procedure"/>
    <w:basedOn w:val="HeadingBase"/>
    <w:next w:val="Normal"/>
    <w:rsid w:val="00AE56ED"/>
    <w:pPr>
      <w:tabs>
        <w:tab w:val="left" w:pos="0"/>
      </w:tabs>
      <w:spacing w:before="120" w:after="60"/>
    </w:pPr>
    <w:rPr>
      <w:i/>
      <w:color w:val="918585"/>
      <w:sz w:val="22"/>
    </w:rPr>
  </w:style>
  <w:style w:type="paragraph" w:customStyle="1" w:styleId="TableBodyText">
    <w:name w:val="Table Body Text"/>
    <w:basedOn w:val="BodyText"/>
    <w:rsid w:val="00AE56ED"/>
    <w:pPr>
      <w:spacing w:before="60" w:after="60"/>
    </w:pPr>
  </w:style>
  <w:style w:type="paragraph" w:styleId="ListContinue">
    <w:name w:val="List Continue"/>
    <w:basedOn w:val="List"/>
    <w:rsid w:val="00AE56ED"/>
    <w:pPr>
      <w:ind w:firstLine="0"/>
    </w:pPr>
  </w:style>
  <w:style w:type="paragraph" w:customStyle="1" w:styleId="ListNote">
    <w:name w:val="List Note"/>
    <w:basedOn w:val="List"/>
    <w:rsid w:val="00AE56ED"/>
    <w:pPr>
      <w:pBdr>
        <w:top w:val="single" w:sz="6" w:space="2" w:color="918585"/>
        <w:bottom w:val="single" w:sz="6" w:space="2" w:color="918585"/>
      </w:pBdr>
      <w:tabs>
        <w:tab w:val="left" w:pos="1021"/>
      </w:tabs>
      <w:ind w:firstLine="0"/>
    </w:pPr>
  </w:style>
  <w:style w:type="paragraph" w:customStyle="1" w:styleId="Warning">
    <w:name w:val="Warning"/>
    <w:basedOn w:val="BodyText"/>
    <w:rsid w:val="00AE56ED"/>
    <w:pPr>
      <w:shd w:val="clear" w:color="auto" w:fill="D9D9D9"/>
      <w:tabs>
        <w:tab w:val="left" w:pos="992"/>
      </w:tabs>
      <w:ind w:left="119" w:right="119"/>
    </w:pPr>
    <w:rPr>
      <w:sz w:val="20"/>
    </w:rPr>
  </w:style>
  <w:style w:type="paragraph" w:customStyle="1" w:styleId="MarginIcons">
    <w:name w:val="Margin Icons"/>
    <w:basedOn w:val="BodyText"/>
    <w:rsid w:val="00AE5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6ED"/>
    <w:rPr>
      <w:rFonts w:ascii="Courier New" w:hAnsi="Courier New"/>
    </w:rPr>
  </w:style>
  <w:style w:type="paragraph" w:customStyle="1" w:styleId="NoteBullet">
    <w:name w:val="Note Bullet"/>
    <w:basedOn w:val="Note"/>
    <w:rsid w:val="00AE56ED"/>
    <w:pPr>
      <w:tabs>
        <w:tab w:val="clear" w:pos="680"/>
      </w:tabs>
      <w:spacing w:before="60" w:after="60"/>
    </w:pPr>
  </w:style>
  <w:style w:type="paragraph" w:customStyle="1" w:styleId="SubHeading2">
    <w:name w:val="SubHeading2"/>
    <w:basedOn w:val="HeadingBase"/>
    <w:rsid w:val="00AE56ED"/>
    <w:pPr>
      <w:spacing w:before="240" w:after="60"/>
    </w:pPr>
    <w:rPr>
      <w:sz w:val="20"/>
    </w:rPr>
  </w:style>
  <w:style w:type="paragraph" w:customStyle="1" w:styleId="SubHeading1">
    <w:name w:val="SubHeading1"/>
    <w:basedOn w:val="HeadingBase"/>
    <w:rsid w:val="00AE56ED"/>
    <w:pPr>
      <w:spacing w:before="240" w:after="60"/>
    </w:pPr>
    <w:rPr>
      <w:color w:val="918585"/>
      <w:sz w:val="22"/>
    </w:rPr>
  </w:style>
  <w:style w:type="paragraph" w:customStyle="1" w:styleId="SideHeading">
    <w:name w:val="Side Heading"/>
    <w:basedOn w:val="HeadingBase"/>
    <w:rsid w:val="00AE5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6ED"/>
    <w:pPr>
      <w:tabs>
        <w:tab w:val="num" w:pos="360"/>
      </w:tabs>
    </w:pPr>
  </w:style>
  <w:style w:type="paragraph" w:styleId="PlainText">
    <w:name w:val="Plain Text"/>
    <w:basedOn w:val="Normal"/>
    <w:link w:val="PlainTextChar"/>
    <w:rsid w:val="00AE56ED"/>
    <w:rPr>
      <w:sz w:val="20"/>
    </w:rPr>
  </w:style>
  <w:style w:type="character" w:customStyle="1" w:styleId="PlainTextChar">
    <w:name w:val="Plain Text Char"/>
    <w:basedOn w:val="DefaultParagraphFont"/>
    <w:link w:val="PlainText"/>
    <w:rsid w:val="00AE56ED"/>
    <w:rPr>
      <w:rFonts w:ascii="Courier New" w:eastAsia="Times New Roman" w:hAnsi="Courier New" w:cs="Times New Roman"/>
      <w:sz w:val="20"/>
      <w:szCs w:val="20"/>
      <w:lang w:eastAsia="en-US"/>
    </w:rPr>
  </w:style>
  <w:style w:type="character" w:customStyle="1" w:styleId="MenuOption">
    <w:name w:val="Menu Option"/>
    <w:basedOn w:val="DefaultParagraphFont"/>
    <w:rsid w:val="00AE56ED"/>
    <w:rPr>
      <w:b/>
      <w:smallCaps/>
    </w:rPr>
  </w:style>
  <w:style w:type="paragraph" w:customStyle="1" w:styleId="TableListNumber">
    <w:name w:val="Table List Number"/>
    <w:basedOn w:val="ListNumber"/>
    <w:rsid w:val="00AE56ED"/>
    <w:pPr>
      <w:numPr>
        <w:numId w:val="0"/>
      </w:numPr>
    </w:pPr>
  </w:style>
  <w:style w:type="paragraph" w:styleId="TOC4">
    <w:name w:val="toc 4"/>
    <w:basedOn w:val="TOCBase"/>
    <w:next w:val="Normal"/>
    <w:semiHidden/>
    <w:rsid w:val="00AE56ED"/>
    <w:pPr>
      <w:tabs>
        <w:tab w:val="right" w:leader="dot" w:pos="9071"/>
      </w:tabs>
      <w:ind w:left="1701"/>
    </w:pPr>
  </w:style>
  <w:style w:type="paragraph" w:customStyle="1" w:styleId="ListAlpha">
    <w:name w:val="List Alpha"/>
    <w:basedOn w:val="List"/>
    <w:rsid w:val="00AE56ED"/>
    <w:pPr>
      <w:numPr>
        <w:numId w:val="9"/>
      </w:numPr>
    </w:pPr>
  </w:style>
  <w:style w:type="paragraph" w:customStyle="1" w:styleId="ListAlpha2">
    <w:name w:val="List Alpha 2"/>
    <w:basedOn w:val="List2"/>
    <w:rsid w:val="00AE56ED"/>
    <w:pPr>
      <w:numPr>
        <w:numId w:val="8"/>
      </w:numPr>
    </w:pPr>
  </w:style>
  <w:style w:type="paragraph" w:styleId="List2">
    <w:name w:val="List 2"/>
    <w:basedOn w:val="BodyText"/>
    <w:rsid w:val="00AE56ED"/>
    <w:pPr>
      <w:tabs>
        <w:tab w:val="left" w:pos="680"/>
      </w:tabs>
      <w:spacing w:before="60" w:after="60"/>
      <w:ind w:left="680" w:hanging="340"/>
    </w:pPr>
  </w:style>
  <w:style w:type="paragraph" w:styleId="List3">
    <w:name w:val="List 3"/>
    <w:basedOn w:val="BodyText"/>
    <w:rsid w:val="00AE56ED"/>
    <w:pPr>
      <w:tabs>
        <w:tab w:val="left" w:pos="1021"/>
      </w:tabs>
      <w:spacing w:before="60" w:after="60"/>
      <w:ind w:left="1020" w:hanging="340"/>
    </w:pPr>
  </w:style>
  <w:style w:type="paragraph" w:styleId="List4">
    <w:name w:val="List 4"/>
    <w:basedOn w:val="BodyText"/>
    <w:rsid w:val="00AE56ED"/>
    <w:pPr>
      <w:tabs>
        <w:tab w:val="left" w:pos="1361"/>
      </w:tabs>
      <w:spacing w:before="60" w:after="60"/>
      <w:ind w:left="1361" w:hanging="340"/>
    </w:pPr>
  </w:style>
  <w:style w:type="paragraph" w:styleId="List5">
    <w:name w:val="List 5"/>
    <w:basedOn w:val="BodyText"/>
    <w:rsid w:val="00AE56ED"/>
    <w:pPr>
      <w:tabs>
        <w:tab w:val="left" w:pos="1701"/>
      </w:tabs>
      <w:spacing w:before="60" w:after="60"/>
      <w:ind w:left="1701" w:hanging="340"/>
    </w:pPr>
  </w:style>
  <w:style w:type="paragraph" w:styleId="ListBullet3">
    <w:name w:val="List Bullet 3"/>
    <w:basedOn w:val="List3"/>
    <w:rsid w:val="00AE56ED"/>
    <w:pPr>
      <w:numPr>
        <w:numId w:val="14"/>
      </w:numPr>
      <w:tabs>
        <w:tab w:val="clear" w:pos="1021"/>
      </w:tabs>
      <w:ind w:left="1037" w:hanging="357"/>
    </w:pPr>
  </w:style>
  <w:style w:type="paragraph" w:styleId="ListBullet4">
    <w:name w:val="List Bullet 4"/>
    <w:basedOn w:val="List4"/>
    <w:rsid w:val="00AE56ED"/>
    <w:pPr>
      <w:numPr>
        <w:numId w:val="3"/>
      </w:numPr>
      <w:tabs>
        <w:tab w:val="clear" w:pos="1361"/>
      </w:tabs>
    </w:pPr>
  </w:style>
  <w:style w:type="paragraph" w:styleId="ListBullet5">
    <w:name w:val="List Bullet 5"/>
    <w:basedOn w:val="List5"/>
    <w:rsid w:val="00AE56ED"/>
    <w:pPr>
      <w:numPr>
        <w:numId w:val="4"/>
      </w:numPr>
    </w:pPr>
  </w:style>
  <w:style w:type="paragraph" w:styleId="ListContinue2">
    <w:name w:val="List Continue 2"/>
    <w:basedOn w:val="List2"/>
    <w:rsid w:val="00AE56ED"/>
    <w:pPr>
      <w:ind w:firstLine="0"/>
    </w:pPr>
  </w:style>
  <w:style w:type="paragraph" w:styleId="ListContinue3">
    <w:name w:val="List Continue 3"/>
    <w:basedOn w:val="List3"/>
    <w:rsid w:val="00AE56ED"/>
    <w:pPr>
      <w:ind w:left="1021" w:firstLine="0"/>
    </w:pPr>
  </w:style>
  <w:style w:type="paragraph" w:styleId="ListContinue4">
    <w:name w:val="List Continue 4"/>
    <w:basedOn w:val="List4"/>
    <w:rsid w:val="00AE56ED"/>
    <w:pPr>
      <w:ind w:firstLine="0"/>
    </w:pPr>
  </w:style>
  <w:style w:type="paragraph" w:styleId="ListContinue5">
    <w:name w:val="List Continue 5"/>
    <w:basedOn w:val="List5"/>
    <w:rsid w:val="00AE56ED"/>
    <w:pPr>
      <w:ind w:firstLine="0"/>
    </w:pPr>
  </w:style>
  <w:style w:type="paragraph" w:styleId="ListNumber3">
    <w:name w:val="List Number 3"/>
    <w:basedOn w:val="List3"/>
    <w:rsid w:val="00AE56ED"/>
    <w:pPr>
      <w:numPr>
        <w:numId w:val="5"/>
      </w:numPr>
    </w:pPr>
  </w:style>
  <w:style w:type="paragraph" w:styleId="ListNumber4">
    <w:name w:val="List Number 4"/>
    <w:basedOn w:val="List4"/>
    <w:rsid w:val="00AE56ED"/>
    <w:pPr>
      <w:numPr>
        <w:numId w:val="6"/>
      </w:numPr>
    </w:pPr>
  </w:style>
  <w:style w:type="paragraph" w:styleId="ListNumber5">
    <w:name w:val="List Number 5"/>
    <w:basedOn w:val="List5"/>
    <w:rsid w:val="00AE56ED"/>
    <w:pPr>
      <w:numPr>
        <w:numId w:val="7"/>
      </w:numPr>
    </w:pPr>
  </w:style>
  <w:style w:type="paragraph" w:styleId="BlockText">
    <w:name w:val="Block Text"/>
    <w:basedOn w:val="Normal"/>
    <w:rsid w:val="00AE56ED"/>
    <w:pPr>
      <w:spacing w:after="120"/>
      <w:ind w:left="1440" w:right="1440"/>
    </w:pPr>
  </w:style>
  <w:style w:type="character" w:customStyle="1" w:styleId="Subscript">
    <w:name w:val="Subscript"/>
    <w:basedOn w:val="DefaultParagraphFont"/>
    <w:rsid w:val="00AE56ED"/>
    <w:rPr>
      <w:sz w:val="16"/>
      <w:vertAlign w:val="subscript"/>
    </w:rPr>
  </w:style>
  <w:style w:type="character" w:customStyle="1" w:styleId="Superscript">
    <w:name w:val="Superscript"/>
    <w:basedOn w:val="DefaultParagraphFont"/>
    <w:rsid w:val="00AE56ED"/>
    <w:rPr>
      <w:sz w:val="16"/>
      <w:vertAlign w:val="superscript"/>
    </w:rPr>
  </w:style>
  <w:style w:type="character" w:customStyle="1" w:styleId="Symbols">
    <w:name w:val="Symbols"/>
    <w:basedOn w:val="DefaultParagraphFont"/>
    <w:rsid w:val="00AE56ED"/>
    <w:rPr>
      <w:rFonts w:ascii="Symbol" w:hAnsi="Symbol"/>
    </w:rPr>
  </w:style>
  <w:style w:type="character" w:customStyle="1" w:styleId="MenuOptions">
    <w:name w:val="Menu Options"/>
    <w:basedOn w:val="DefaultParagraphFont"/>
    <w:rsid w:val="00AE56ED"/>
    <w:rPr>
      <w:rFonts w:ascii="Arial Narrow" w:hAnsi="Arial Narrow"/>
      <w:smallCaps/>
    </w:rPr>
  </w:style>
  <w:style w:type="character" w:customStyle="1" w:styleId="Buttons">
    <w:name w:val="Buttons"/>
    <w:basedOn w:val="DefaultParagraphFont"/>
    <w:rsid w:val="00AE56ED"/>
    <w:rPr>
      <w:b/>
    </w:rPr>
  </w:style>
  <w:style w:type="character" w:customStyle="1" w:styleId="Underlined">
    <w:name w:val="Underlined"/>
    <w:basedOn w:val="DefaultParagraphFont"/>
    <w:rsid w:val="00AE56ED"/>
    <w:rPr>
      <w:u w:val="single"/>
    </w:rPr>
  </w:style>
  <w:style w:type="paragraph" w:customStyle="1" w:styleId="TableBodyTextRight">
    <w:name w:val="Table Body Text Right"/>
    <w:basedOn w:val="TableBodyText"/>
    <w:rsid w:val="00AE56ED"/>
    <w:pPr>
      <w:widowControl w:val="0"/>
      <w:autoSpaceDE w:val="0"/>
      <w:autoSpaceDN w:val="0"/>
      <w:adjustRightInd w:val="0"/>
      <w:jc w:val="right"/>
    </w:pPr>
    <w:rPr>
      <w:rFonts w:cs="Arial"/>
      <w:szCs w:val="18"/>
    </w:rPr>
  </w:style>
  <w:style w:type="paragraph" w:customStyle="1" w:styleId="CopyrightText">
    <w:name w:val="Copyright Text"/>
    <w:basedOn w:val="BodyText"/>
    <w:rsid w:val="00AE56ED"/>
    <w:rPr>
      <w:sz w:val="18"/>
    </w:rPr>
  </w:style>
  <w:style w:type="paragraph" w:customStyle="1" w:styleId="BodySmallRight">
    <w:name w:val="Body Small Right"/>
    <w:basedOn w:val="BodyTextRight"/>
    <w:rsid w:val="00AE56ED"/>
    <w:rPr>
      <w:sz w:val="18"/>
      <w:szCs w:val="18"/>
    </w:rPr>
  </w:style>
  <w:style w:type="paragraph" w:customStyle="1" w:styleId="MarginEdition">
    <w:name w:val="Margin Edition"/>
    <w:basedOn w:val="MarginNote"/>
    <w:rsid w:val="00AE56ED"/>
    <w:pPr>
      <w:spacing w:before="0" w:after="0"/>
    </w:pPr>
    <w:rPr>
      <w:rFonts w:ascii="Times New Roman" w:hAnsi="Times New Roman"/>
      <w:color w:val="999999"/>
    </w:rPr>
  </w:style>
  <w:style w:type="paragraph" w:customStyle="1" w:styleId="Spacer">
    <w:name w:val="Spacer"/>
    <w:basedOn w:val="Normal"/>
    <w:rsid w:val="00AE56ED"/>
    <w:rPr>
      <w:sz w:val="2"/>
      <w:szCs w:val="2"/>
    </w:rPr>
  </w:style>
  <w:style w:type="character" w:customStyle="1" w:styleId="Small">
    <w:name w:val="Small"/>
    <w:basedOn w:val="DefaultParagraphFont"/>
    <w:rsid w:val="00AE56ED"/>
    <w:rPr>
      <w:sz w:val="16"/>
    </w:rPr>
  </w:style>
  <w:style w:type="paragraph" w:customStyle="1" w:styleId="WideTable">
    <w:name w:val="Wide Table"/>
    <w:basedOn w:val="Normal"/>
    <w:rsid w:val="00AE56ED"/>
    <w:pPr>
      <w:ind w:left="-1418"/>
    </w:pPr>
    <w:rPr>
      <w:sz w:val="2"/>
      <w:szCs w:val="2"/>
    </w:rPr>
  </w:style>
  <w:style w:type="character" w:styleId="PageNumber">
    <w:name w:val="page number"/>
    <w:basedOn w:val="DefaultParagraphFont"/>
    <w:rsid w:val="00AE56ED"/>
  </w:style>
  <w:style w:type="paragraph" w:styleId="Quote">
    <w:name w:val="Quote"/>
    <w:basedOn w:val="Heading1"/>
    <w:link w:val="QuoteChar"/>
    <w:qFormat/>
    <w:rsid w:val="00AE56ED"/>
    <w:rPr>
      <w:b w:val="0"/>
      <w:sz w:val="72"/>
      <w:szCs w:val="72"/>
      <w:lang w:val="en-NZ"/>
    </w:rPr>
  </w:style>
  <w:style w:type="character" w:customStyle="1" w:styleId="QuoteChar">
    <w:name w:val="Quote Char"/>
    <w:basedOn w:val="DefaultParagraphFont"/>
    <w:link w:val="Quote"/>
    <w:rsid w:val="00AE5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6ED"/>
    <w:pPr>
      <w:pageBreakBefore/>
    </w:pPr>
  </w:style>
  <w:style w:type="paragraph" w:customStyle="1" w:styleId="Border">
    <w:name w:val="Border"/>
    <w:basedOn w:val="Normal"/>
    <w:qFormat/>
    <w:rsid w:val="00AE5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6ED"/>
    <w:rPr>
      <w:b/>
      <w:bCs/>
      <w:i/>
      <w:iCs/>
      <w:color w:val="auto"/>
    </w:rPr>
  </w:style>
  <w:style w:type="paragraph" w:styleId="IntenseQuote">
    <w:name w:val="Intense Quote"/>
    <w:basedOn w:val="Normal"/>
    <w:next w:val="Normal"/>
    <w:link w:val="IntenseQuoteChar"/>
    <w:uiPriority w:val="30"/>
    <w:qFormat/>
    <w:rsid w:val="00AE5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6ED"/>
    <w:rPr>
      <w:smallCaps/>
      <w:color w:val="auto"/>
      <w:u w:val="single"/>
    </w:rPr>
  </w:style>
  <w:style w:type="character" w:styleId="IntenseReference">
    <w:name w:val="Intense Reference"/>
    <w:basedOn w:val="DefaultParagraphFont"/>
    <w:uiPriority w:val="32"/>
    <w:qFormat/>
    <w:rsid w:val="00AE56ED"/>
    <w:rPr>
      <w:b/>
      <w:bCs/>
      <w:smallCaps/>
      <w:color w:val="auto"/>
      <w:spacing w:val="5"/>
      <w:u w:val="single"/>
    </w:rPr>
  </w:style>
  <w:style w:type="paragraph" w:customStyle="1" w:styleId="2ColumnHeading">
    <w:name w:val="2Column Heading"/>
    <w:basedOn w:val="BodyText"/>
    <w:qFormat/>
    <w:rsid w:val="00AE56ED"/>
    <w:pPr>
      <w:spacing w:after="60"/>
      <w:ind w:left="-2268"/>
    </w:pPr>
    <w:rPr>
      <w:b/>
    </w:rPr>
  </w:style>
  <w:style w:type="paragraph" w:customStyle="1" w:styleId="Heading1TOC">
    <w:name w:val="Heading1 TOC"/>
    <w:basedOn w:val="Normal"/>
    <w:qFormat/>
    <w:rsid w:val="00AE56ED"/>
    <w:pPr>
      <w:spacing w:before="240" w:after="120"/>
    </w:pPr>
    <w:rPr>
      <w:rFonts w:ascii="Times New Roman" w:hAnsi="Times New Roman"/>
      <w:b/>
      <w:sz w:val="32"/>
    </w:rPr>
  </w:style>
  <w:style w:type="paragraph" w:customStyle="1" w:styleId="Heading2TOC">
    <w:name w:val="Heading2 TOC"/>
    <w:basedOn w:val="Normal"/>
    <w:qFormat/>
    <w:rsid w:val="00AE56ED"/>
    <w:pPr>
      <w:spacing w:before="240" w:after="60"/>
    </w:pPr>
    <w:rPr>
      <w:rFonts w:ascii="Times New Roman" w:hAnsi="Times New Roman"/>
      <w:b/>
      <w:sz w:val="28"/>
    </w:rPr>
  </w:style>
  <w:style w:type="character" w:customStyle="1" w:styleId="Underline">
    <w:name w:val="Underline"/>
    <w:basedOn w:val="DefaultParagraphFont"/>
    <w:qFormat/>
    <w:rsid w:val="00AE56ED"/>
    <w:rPr>
      <w:u w:val="single"/>
    </w:rPr>
  </w:style>
  <w:style w:type="character" w:customStyle="1" w:styleId="BoldandItalics">
    <w:name w:val="Bold and Italics"/>
    <w:qFormat/>
    <w:rsid w:val="00AE56ED"/>
    <w:rPr>
      <w:b/>
      <w:i/>
      <w:u w:val="none"/>
    </w:rPr>
  </w:style>
  <w:style w:type="paragraph" w:styleId="BalloonText">
    <w:name w:val="Balloon Text"/>
    <w:basedOn w:val="Normal"/>
    <w:link w:val="BalloonTextChar"/>
    <w:rsid w:val="00AE56ED"/>
    <w:rPr>
      <w:rFonts w:ascii="Tahoma" w:hAnsi="Tahoma" w:cs="Tahoma"/>
      <w:sz w:val="16"/>
      <w:szCs w:val="16"/>
    </w:rPr>
  </w:style>
  <w:style w:type="character" w:customStyle="1" w:styleId="BalloonTextChar">
    <w:name w:val="Balloon Text Char"/>
    <w:basedOn w:val="DefaultParagraphFont"/>
    <w:link w:val="BalloonText"/>
    <w:rsid w:val="00AE5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6ED"/>
    <w:rPr>
      <w:b/>
      <w:color w:val="660033"/>
      <w:spacing w:val="0"/>
    </w:rPr>
  </w:style>
  <w:style w:type="paragraph" w:customStyle="1" w:styleId="Nameditemlist">
    <w:name w:val="Named item list"/>
    <w:basedOn w:val="BodyText"/>
    <w:qFormat/>
    <w:rsid w:val="00AE56ED"/>
    <w:pPr>
      <w:tabs>
        <w:tab w:val="left" w:pos="2835"/>
      </w:tabs>
      <w:ind w:left="2835" w:hanging="2835"/>
    </w:pPr>
  </w:style>
  <w:style w:type="paragraph" w:customStyle="1" w:styleId="BodyTextnopadding">
    <w:name w:val="Body Text no padding"/>
    <w:basedOn w:val="BodyText"/>
    <w:qFormat/>
    <w:rsid w:val="00AE56ED"/>
    <w:pPr>
      <w:spacing w:before="0" w:after="0"/>
    </w:pPr>
  </w:style>
  <w:style w:type="paragraph" w:customStyle="1" w:styleId="BodyTextBold">
    <w:name w:val="Body Text Bold"/>
    <w:basedOn w:val="BodyText"/>
    <w:qFormat/>
    <w:rsid w:val="00AE56ED"/>
    <w:rPr>
      <w:b/>
    </w:rPr>
  </w:style>
  <w:style w:type="character" w:styleId="Hyperlink">
    <w:name w:val="Hyperlink"/>
    <w:basedOn w:val="DefaultParagraphFont"/>
    <w:uiPriority w:val="99"/>
    <w:unhideWhenUsed/>
    <w:rsid w:val="00D31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4206</Characters>
  <Application>Microsoft Office Word</Application>
  <DocSecurity>0</DocSecurity>
  <Lines>97</Lines>
  <Paragraphs>71</Paragraphs>
  <ScaleCrop>false</ScaleCrop>
  <Company>Author-it Software Corporation Ltd.</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UEEEC0069 Troubleshoot digital sub-systems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