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A69" w:rsidP="00527A69">
      <w:pPr>
        <w:pStyle w:val="Title"/>
      </w:pPr>
      <w:r>
        <w:fldChar w:fldCharType="begin"/>
      </w:r>
      <w:r>
        <w:instrText xml:space="preserve"> TITLE   \* MERGEFORMAT </w:instrText>
      </w:r>
      <w:r>
        <w:fldChar w:fldCharType="separate"/>
      </w:r>
      <w:r>
        <w:t>UEEEC0054 Provide gate array solutions for complex electronics systems</w:t>
      </w:r>
      <w:r>
        <w:fldChar w:fldCharType="end"/>
      </w:r>
    </w:p>
    <w:p w:rsidR="00527A69" w:rsidP="00527A69">
      <w:pPr>
        <w:pStyle w:val="Version"/>
        <w:sectPr w:rsidSect="00EC2F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F95" w:rsidP="00EC2F95">
      <w:pPr>
        <w:pStyle w:val="SuperHeading"/>
      </w:pPr>
      <w:r w:rsidRPr="00EC2F95">
        <w:t>UEEEC0054 Provide gate array solutions for complex electronics systems</w:t>
      </w:r>
    </w:p>
    <w:p w:rsidR="00000000" w:rsidRPr="00EC2F95" w:rsidP="00EC2F95">
      <w:pPr>
        <w:pStyle w:val="Heading1"/>
      </w:pPr>
      <w:bookmarkStart w:id="1" w:name="O_1080616"/>
      <w:bookmarkEnd w:id="1"/>
      <w:r w:rsidRPr="00EC2F95">
        <w:t>Modification History</w:t>
      </w:r>
    </w:p>
    <w:tbl>
      <w:tblPr>
        <w:tblW w:w="9497" w:type="dxa"/>
        <w:tblLayout w:type="fixed"/>
        <w:tblCellMar>
          <w:left w:w="62" w:type="dxa"/>
          <w:right w:w="62" w:type="dxa"/>
        </w:tblCellMar>
        <w:tblLook w:val="0000"/>
      </w:tblPr>
      <w:tblGrid>
        <w:gridCol w:w="9497"/>
      </w:tblGrid>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t>Release 1. This is the first release of this unit of competency in the UEE Electrotechnology Training Package.</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2" w:name="O_1080617"/>
      <w:bookmarkEnd w:id="2"/>
      <w:r w:rsidRPr="00EC2F95">
        <w:t>Application</w:t>
      </w:r>
    </w:p>
    <w:tbl>
      <w:tblPr>
        <w:tblW w:w="9497" w:type="dxa"/>
        <w:tblLayout w:type="fixed"/>
        <w:tblCellMar>
          <w:left w:w="62" w:type="dxa"/>
          <w:right w:w="62" w:type="dxa"/>
        </w:tblCellMar>
        <w:tblLook w:val="0000"/>
      </w:tblPr>
      <w:tblGrid>
        <w:gridCol w:w="9497"/>
      </w:tblGrid>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t>This unit involves the skills and knowledge required to design and develop electronic systems using gate array technology.</w:t>
            </w:r>
          </w:p>
          <w:p w:rsidR="00000000" w:rsidRPr="00EC2F95" w:rsidP="00EC2F95">
            <w:pPr>
              <w:pStyle w:val="BodyText"/>
            </w:pPr>
            <w:r w:rsidRPr="00EC2F95">
              <w:t>It includes working safely, following gate array design brief and interpreting device specifications, using appropriate development s</w:t>
            </w:r>
            <w:r w:rsidRPr="00EC2F95">
              <w:t xml:space="preserve">oftware, testing operation and verifying compliance of the of the design against the final brief, and documenting design and development work. </w:t>
            </w:r>
          </w:p>
          <w:p w:rsidR="00000000" w:rsidRPr="00EC2F95" w:rsidP="00EC2F95">
            <w:pPr>
              <w:pStyle w:val="BodyText"/>
            </w:pPr>
            <w:r w:rsidRPr="00EC2F95">
              <w:t>No licensing, legislative or certification requirements apply to this unit at the time of publication.</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3" w:name="O_1080618"/>
      <w:bookmarkEnd w:id="3"/>
      <w:r w:rsidRPr="00EC2F95">
        <w:t>Pre-requisite Unit</w:t>
      </w:r>
    </w:p>
    <w:tbl>
      <w:tblPr>
        <w:tblW w:w="9497" w:type="dxa"/>
        <w:tblLayout w:type="fixed"/>
        <w:tblCellMar>
          <w:left w:w="62" w:type="dxa"/>
          <w:right w:w="62" w:type="dxa"/>
        </w:tblCellMar>
        <w:tblLook w:val="0000"/>
      </w:tblPr>
      <w:tblGrid>
        <w:gridCol w:w="9497"/>
      </w:tblGrid>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t>UEECD0007 Apply work health and safety regulations, codes and practices in the workplace</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4" w:name="O_1080619"/>
      <w:bookmarkEnd w:id="4"/>
      <w:r w:rsidRPr="00EC2F95">
        <w:t>Competency Field</w:t>
      </w:r>
    </w:p>
    <w:tbl>
      <w:tblPr>
        <w:tblW w:w="9497" w:type="dxa"/>
        <w:tblLayout w:type="fixed"/>
        <w:tblCellMar>
          <w:left w:w="62" w:type="dxa"/>
          <w:right w:w="62" w:type="dxa"/>
        </w:tblCellMar>
        <w:tblLook w:val="0000"/>
      </w:tblPr>
      <w:tblGrid>
        <w:gridCol w:w="9497"/>
      </w:tblGrid>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t>Electronics and Communications</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5" w:name="O_1080620"/>
      <w:bookmarkEnd w:id="5"/>
      <w:r w:rsidRPr="00EC2F95">
        <w:t>Unit Sector</w:t>
      </w:r>
    </w:p>
    <w:tbl>
      <w:tblPr>
        <w:tblW w:w="9497" w:type="dxa"/>
        <w:tblLayout w:type="fixed"/>
        <w:tblCellMar>
          <w:left w:w="62" w:type="dxa"/>
          <w:right w:w="62" w:type="dxa"/>
        </w:tblCellMar>
        <w:tblLook w:val="0000"/>
      </w:tblPr>
      <w:tblGrid>
        <w:gridCol w:w="9497"/>
      </w:tblGrid>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t>Electrotechnology</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6" w:name="O_1080621"/>
      <w:bookmarkEnd w:id="6"/>
      <w:r w:rsidRPr="00EC2F9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C2F9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PERFORMANCE CRITERIA</w:t>
            </w:r>
          </w:p>
        </w:tc>
      </w:tr>
      <w:tr w:rsidTr="00EC2F9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Performance criteria describe the performance needed to demonstrate achievement of the element.</w:t>
            </w:r>
          </w:p>
        </w:tc>
      </w:tr>
      <w:tr w:rsidTr="00EC2F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rPr>
                <w:rStyle w:val="SpecialBold"/>
              </w:rPr>
              <w:t>Prepare to design gate array system</w:t>
            </w: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Work health and safety (WHS)/occupational health and safety (OHS) requirements and workplace procedures for a given work area are identified and applied</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Operational safety procedures for a given work area are obtained and understood</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Extent of the proposed gate array system design and circuit development is determined from design brief or in consultation with appropriate person/s</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Design and circuit development work is planned to meet scheduled timelines in consultation with othe</w:t>
            </w:r>
            <w:r w:rsidRPr="00EC2F95">
              <w:t>rs involved</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Materials and devices/components required for the design work are selected on compatibility of their specifications with system requirements and project budget constraints</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Tools, equipment, software and testing devices needed to c</w:t>
            </w:r>
            <w:r w:rsidRPr="00EC2F95">
              <w:t>arry out the work are obtained and checked for correct operation and safety</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rPr>
                <w:rStyle w:val="SpecialBold"/>
              </w:rPr>
              <w:t>Design and develop circuit gate array system</w:t>
            </w: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WHS/OHS risk control measures and workplace procedures for carrying out the design work are followed</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Gate array system and industry compliance standards are applied to the design</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Alternative arrangements for the design and circuit development are considered in accordance with the requirements outlined in the design brief</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Safety, functional a</w:t>
            </w:r>
            <w:r w:rsidRPr="00EC2F95">
              <w:t>nd budget considerations are incorporated in the design</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Circuit device and circuits are constructed and tested for compliance with the design brief and regulatory requirements</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Circuit malfunctions are rectified and retested to ensure effective operation with the design</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Gate array system design and development is documented for submission to appropriate person/s for approval</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Solutions to unplanned situations are pro</w:t>
            </w:r>
            <w:r w:rsidRPr="00EC2F95">
              <w:t>vided in accordance with workplace policies</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rPr>
                <w:rStyle w:val="SpecialBold"/>
              </w:rPr>
              <w:t xml:space="preserve">Obtain approval for design and circuit </w:t>
            </w:r>
            <w:r w:rsidRPr="00EC2F95">
              <w:rPr>
                <w:rStyle w:val="SpecialBold"/>
              </w:rPr>
              <w:t>development of gate array system and documentation</w:t>
            </w: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Gate array system design is presented and explained to client representative and/or relevant person/s</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Requests for design modifications are negotiated with relevant person/s within the constraints of workplace policies</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Final design and circuit development are documented and approval obtained from appropriate person/s</w:t>
            </w:r>
          </w:p>
        </w:tc>
      </w:tr>
      <w:tr w:rsidTr="00EC2F95">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2F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t>Quality of work is monito</w:t>
            </w:r>
            <w:r w:rsidRPr="00EC2F95">
              <w:t>red against design brief, performance agreement and/or workplace procedures or industry standards</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7" w:name="O_1080622"/>
      <w:bookmarkEnd w:id="7"/>
      <w:r w:rsidRPr="00EC2F95">
        <w:t>Foundation Skills</w:t>
      </w:r>
    </w:p>
    <w:tbl>
      <w:tblPr>
        <w:tblW w:w="9497" w:type="dxa"/>
        <w:tblLayout w:type="fixed"/>
        <w:tblCellMar>
          <w:left w:w="62" w:type="dxa"/>
          <w:right w:w="62" w:type="dxa"/>
        </w:tblCellMar>
        <w:tblLook w:val="0000"/>
      </w:tblPr>
      <w:tblGrid>
        <w:gridCol w:w="9497"/>
      </w:tblGrid>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t>Foundation skills essential to performance are explicit in the performance criteria of this unit of competency.</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8" w:name="O_1080623"/>
      <w:bookmarkEnd w:id="8"/>
      <w:r w:rsidRPr="00EC2F95">
        <w:t>Range of Conditions</w:t>
      </w:r>
    </w:p>
    <w:tbl>
      <w:tblPr>
        <w:tblW w:w="9497" w:type="dxa"/>
        <w:tblLayout w:type="fixed"/>
        <w:tblCellMar>
          <w:left w:w="62" w:type="dxa"/>
          <w:right w:w="62" w:type="dxa"/>
        </w:tblCellMar>
        <w:tblLook w:val="0000"/>
      </w:tblPr>
      <w:tblGrid>
        <w:gridCol w:w="4693"/>
        <w:gridCol w:w="4804"/>
      </w:tblGrid>
      <w:tr w:rsidTr="00EC2F9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t>Range is restricted to essential operating conditions and any other variables essential to the work environment.</w:t>
            </w:r>
          </w:p>
          <w:p w:rsidR="00000000" w:rsidP="00EC2F95">
            <w:pPr>
              <w:pStyle w:val="BodyText"/>
              <w:rPr>
                <w:lang w:val="en-NZ"/>
              </w:rPr>
            </w:pPr>
            <w:r w:rsidRPr="00EC2F95">
              <w:t>Non-essential conditions may be found in the UEE Electrotechnology Training Package Companion Volume Impl</w:t>
            </w:r>
            <w:r w:rsidRPr="00EC2F95">
              <w:t>ementation Guide.</w:t>
            </w:r>
          </w:p>
        </w:tc>
      </w:tr>
      <w:tr w:rsidTr="00EC2F9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 xml:space="preserve">Designing and developing a gate array system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EC2F95" w:rsidP="00EC2F95">
            <w:pPr>
              <w:pStyle w:val="ListBullet2"/>
            </w:pPr>
            <w:r w:rsidRPr="00EC2F95">
              <w:t>three input/output (I/O) devices or functions</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9" w:name="O_1080624"/>
      <w:bookmarkEnd w:id="9"/>
      <w:r w:rsidRPr="00EC2F95">
        <w:t>Unit Mapping Information</w:t>
      </w:r>
    </w:p>
    <w:tbl>
      <w:tblPr>
        <w:tblW w:w="9497" w:type="dxa"/>
        <w:tblLayout w:type="fixed"/>
        <w:tblCellMar>
          <w:left w:w="62" w:type="dxa"/>
          <w:right w:w="62" w:type="dxa"/>
        </w:tblCellMar>
        <w:tblLook w:val="0000"/>
      </w:tblPr>
      <w:tblGrid>
        <w:gridCol w:w="9497"/>
      </w:tblGrid>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t>This unit replaces and is equivalent to UEENEEH189A Provide Gate Array solutions for complex electronics systems.</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10" w:name="O_1080631"/>
      <w:bookmarkEnd w:id="10"/>
      <w:r w:rsidRPr="00EC2F95">
        <w:t>Links</w:t>
      </w:r>
    </w:p>
    <w:p w:rsidR="00000000" w:rsidRPr="00EC2F95" w:rsidP="00527A69">
      <w:pPr>
        <w:pStyle w:val="BodyText"/>
      </w:pPr>
      <w:r w:rsidRPr="00EC2F9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E4AC6">
        <w:rPr>
          <w:rStyle w:val="Hyperlink"/>
        </w:rPr>
        <w:t>https://vetnet.gov.au/Pages/TrainingDocs.aspx?q=b8a8f136-5421-4ce1-92e0-2b50341431b6</w:t>
      </w:r>
      <w:r>
        <w:fldChar w:fldCharType="end"/>
      </w:r>
    </w:p>
    <w:p w:rsidR="00000000" w:rsidRPr="00EC2F95" w:rsidP="00527A69">
      <w:pPr>
        <w:pStyle w:val="BodyText"/>
        <w:sectPr w:rsidSect="00EC2F95">
          <w:headerReference w:type="default" r:id="rId10"/>
          <w:footerReference w:type="default" r:id="rId11"/>
          <w:pgSz w:w="11908" w:h="16833"/>
          <w:pgMar w:top="1702" w:right="1418" w:bottom="1702" w:left="1418" w:header="992" w:footer="992" w:gutter="0"/>
          <w:cols w:space="720"/>
          <w:noEndnote/>
          <w:docGrid w:linePitch="299"/>
        </w:sectPr>
      </w:pPr>
    </w:p>
    <w:p w:rsidR="00000000" w:rsidRPr="00EC2F95" w:rsidP="00EC2F95">
      <w:pPr>
        <w:pStyle w:val="SuperHeading"/>
      </w:pPr>
      <w:r w:rsidRPr="00EC2F95">
        <w:t>Assessment Requirements for UEEEC0054 Provide gate array solu</w:t>
      </w:r>
      <w:r w:rsidRPr="00EC2F95">
        <w:t>tions for complex electronics systems</w:t>
      </w:r>
    </w:p>
    <w:p w:rsidR="00000000" w:rsidRPr="00EC2F95" w:rsidP="00EC2F95">
      <w:pPr>
        <w:pStyle w:val="Heading1"/>
      </w:pPr>
      <w:bookmarkStart w:id="11" w:name="O_1080626"/>
      <w:bookmarkEnd w:id="11"/>
      <w:r w:rsidRPr="00EC2F95">
        <w:t>Modification History</w:t>
      </w:r>
    </w:p>
    <w:tbl>
      <w:tblPr>
        <w:tblW w:w="9497" w:type="dxa"/>
        <w:tblLayout w:type="fixed"/>
        <w:tblCellMar>
          <w:left w:w="62" w:type="dxa"/>
          <w:right w:w="62" w:type="dxa"/>
        </w:tblCellMar>
        <w:tblLook w:val="0000"/>
      </w:tblPr>
      <w:tblGrid>
        <w:gridCol w:w="9497"/>
      </w:tblGrid>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t>Release 1. This is the first release of this unit of competency in the UEE Electrotechnology Training Package.</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12" w:name="O_1080627"/>
      <w:bookmarkEnd w:id="12"/>
      <w:r w:rsidRPr="00EC2F95">
        <w:t>Performance Evidence</w:t>
      </w:r>
    </w:p>
    <w:tbl>
      <w:tblPr>
        <w:tblW w:w="9497" w:type="dxa"/>
        <w:tblLayout w:type="fixed"/>
        <w:tblCellMar>
          <w:left w:w="62" w:type="dxa"/>
          <w:right w:w="62" w:type="dxa"/>
        </w:tblCellMar>
        <w:tblLook w:val="0000"/>
      </w:tblPr>
      <w:tblGrid>
        <w:gridCol w:w="9497"/>
      </w:tblGrid>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Evidence required to demon</w:t>
            </w:r>
            <w:r w:rsidRPr="00EC2F95">
              <w:t xml:space="preserve">strate competence in this unit must be relevant to and satisfy all of the requirements of the elements, performance criteria and range of conditions on at least two separate occasions and include: </w:t>
            </w:r>
          </w:p>
        </w:tc>
      </w:tr>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F95" w:rsidP="00EC2F95">
            <w:pPr>
              <w:pStyle w:val="ListBullet"/>
            </w:pPr>
            <w:r w:rsidRPr="00EC2F95">
              <w:t xml:space="preserve">constructing, inspecting and testing circuit gate array </w:t>
            </w:r>
            <w:r w:rsidRPr="00EC2F95">
              <w:t>device and circuits in accordance with design brief and regulatory requirements</w:t>
            </w:r>
          </w:p>
          <w:p w:rsidR="00000000" w:rsidRPr="00EC2F95" w:rsidP="00EC2F95">
            <w:pPr>
              <w:pStyle w:val="ListBullet"/>
            </w:pPr>
            <w:r w:rsidRPr="00EC2F95">
              <w:t>dealing with unplanned situations in accordance with workplace procedures in a manner that minimises risk to personnel and equipment</w:t>
            </w:r>
          </w:p>
          <w:p w:rsidR="00000000" w:rsidRPr="00EC2F95" w:rsidP="00EC2F95">
            <w:pPr>
              <w:pStyle w:val="ListBullet"/>
            </w:pPr>
            <w:r w:rsidRPr="00EC2F95">
              <w:t>designing gate array system in accordance with workplace procedures</w:t>
            </w:r>
          </w:p>
          <w:p w:rsidR="00000000" w:rsidRPr="00EC2F95" w:rsidP="00EC2F95">
            <w:pPr>
              <w:pStyle w:val="ListBullet"/>
            </w:pPr>
            <w:r w:rsidRPr="00EC2F95">
              <w:t>developing outlines of alternative designs and comparing advantages and disadvantages on each</w:t>
            </w:r>
          </w:p>
          <w:p w:rsidR="00000000" w:rsidRPr="00EC2F95" w:rsidP="00EC2F95">
            <w:pPr>
              <w:pStyle w:val="ListBullet"/>
            </w:pPr>
            <w:r w:rsidRPr="00EC2F95">
              <w:t>developing the gate array design within the safety and functional requirements and budget limi</w:t>
            </w:r>
            <w:r w:rsidRPr="00EC2F95">
              <w:t>tations</w:t>
            </w:r>
          </w:p>
          <w:p w:rsidR="00000000" w:rsidRPr="00EC2F95" w:rsidP="00EC2F95">
            <w:pPr>
              <w:pStyle w:val="ListBullet"/>
            </w:pPr>
            <w:r w:rsidRPr="00EC2F95">
              <w:t>documenting and presenting design effectively</w:t>
            </w:r>
          </w:p>
          <w:p w:rsidR="00000000" w:rsidRPr="00EC2F95" w:rsidP="00EC2F95">
            <w:pPr>
              <w:pStyle w:val="ListBullet"/>
            </w:pPr>
            <w:r w:rsidRPr="00EC2F95">
              <w:t>implementing relevant work health and safety (WHS)/occupational health and safety (OHS) requirements, including the use of risk control measures</w:t>
            </w:r>
          </w:p>
          <w:p w:rsidR="00000000" w:rsidRPr="00EC2F95" w:rsidP="00EC2F95">
            <w:pPr>
              <w:pStyle w:val="ListBullet"/>
            </w:pPr>
            <w:r w:rsidRPr="00EC2F95">
              <w:t>negotiating design alteration requests and obtaining appr</w:t>
            </w:r>
            <w:r w:rsidRPr="00EC2F95">
              <w:t>oval for final gate array design system</w:t>
            </w:r>
          </w:p>
          <w:p w:rsidR="00000000" w:rsidRPr="00EC2F95" w:rsidP="00EC2F95">
            <w:pPr>
              <w:pStyle w:val="ListBullet"/>
            </w:pPr>
            <w:r w:rsidRPr="00EC2F95">
              <w:t>verifying compliance of the design against the final brief.</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13" w:name="O_1080628"/>
      <w:bookmarkEnd w:id="13"/>
      <w:r w:rsidRPr="00EC2F95">
        <w:t>Knowledge Evidence</w:t>
      </w:r>
    </w:p>
    <w:tbl>
      <w:tblPr>
        <w:tblW w:w="9497" w:type="dxa"/>
        <w:tblLayout w:type="fixed"/>
        <w:tblCellMar>
          <w:left w:w="62" w:type="dxa"/>
          <w:right w:w="62" w:type="dxa"/>
        </w:tblCellMar>
        <w:tblLook w:val="0000"/>
      </w:tblPr>
      <w:tblGrid>
        <w:gridCol w:w="9497"/>
      </w:tblGrid>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2F95">
            <w:pPr>
              <w:pStyle w:val="BodyText"/>
              <w:rPr>
                <w:lang w:val="en-NZ"/>
              </w:rPr>
            </w:pPr>
            <w:r w:rsidRPr="00EC2F95">
              <w:t xml:space="preserve">Evidence required to demonstrate competence in this unit must be relevant to and satisfy all of the requirements of </w:t>
            </w:r>
            <w:r w:rsidRPr="00EC2F95">
              <w:t xml:space="preserve">the elements, performance criteria and range of conditions and include knowledge of: </w:t>
            </w:r>
          </w:p>
        </w:tc>
      </w:tr>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F95" w:rsidP="00EC2F95">
            <w:pPr>
              <w:pStyle w:val="ListBullet"/>
            </w:pPr>
            <w:r w:rsidRPr="00EC2F95">
              <w:t xml:space="preserve">gate array fundamentals </w:t>
            </w:r>
          </w:p>
          <w:p w:rsidR="00000000" w:rsidRPr="00EC2F95" w:rsidP="00EC2F95">
            <w:pPr>
              <w:pStyle w:val="ListBullet"/>
            </w:pPr>
            <w:r w:rsidRPr="00EC2F95">
              <w:t>hardware design language</w:t>
            </w:r>
          </w:p>
          <w:p w:rsidR="00000000" w:rsidRPr="00EC2F95" w:rsidP="00EC2F95">
            <w:pPr>
              <w:pStyle w:val="ListBullet"/>
            </w:pPr>
            <w:r w:rsidRPr="00EC2F95">
              <w:t>programmable logic device (PLD), including:</w:t>
            </w:r>
          </w:p>
          <w:p w:rsidR="00000000" w:rsidRPr="00EC2F95" w:rsidP="00EC2F95">
            <w:pPr>
              <w:pStyle w:val="ListBullet2"/>
            </w:pPr>
            <w:r w:rsidRPr="00EC2F95">
              <w:t>types of PLDs</w:t>
            </w:r>
          </w:p>
          <w:p w:rsidR="00000000" w:rsidRPr="00EC2F95" w:rsidP="00EC2F95">
            <w:pPr>
              <w:pStyle w:val="ListBullet2"/>
            </w:pPr>
            <w:r w:rsidRPr="00EC2F95">
              <w:t>features of complex programmable logic device (CPLD) devices</w:t>
            </w:r>
          </w:p>
          <w:p w:rsidR="00000000" w:rsidRPr="00EC2F95" w:rsidP="00EC2F95">
            <w:pPr>
              <w:pStyle w:val="ListBullet2"/>
            </w:pPr>
            <w:r w:rsidRPr="00EC2F95">
              <w:t>features of field programmable gate array (FPGA) devices</w:t>
            </w:r>
          </w:p>
          <w:p w:rsidR="00000000" w:rsidRPr="00EC2F95" w:rsidP="00EC2F95">
            <w:pPr>
              <w:pStyle w:val="ListBullet2"/>
            </w:pPr>
            <w:r w:rsidRPr="00EC2F95">
              <w:t>input/output (I/O) logic family assignment for FPGA</w:t>
            </w:r>
          </w:p>
          <w:p w:rsidR="00000000" w:rsidRPr="00EC2F95" w:rsidP="00EC2F95">
            <w:pPr>
              <w:pStyle w:val="ListBullet"/>
            </w:pPr>
            <w:r w:rsidRPr="00EC2F95">
              <w:t>relevant job safety assessments or risk mitigation processes</w:t>
            </w:r>
          </w:p>
          <w:p w:rsidR="00000000" w:rsidRPr="00EC2F95" w:rsidP="00EC2F95">
            <w:pPr>
              <w:pStyle w:val="ListBullet"/>
            </w:pPr>
            <w:r w:rsidRPr="00EC2F95">
              <w:t>relevant WHS/OHS legislated requirements</w:t>
            </w:r>
          </w:p>
          <w:p w:rsidR="00000000" w:rsidRPr="00EC2F95" w:rsidP="00EC2F95">
            <w:pPr>
              <w:pStyle w:val="ListBullet"/>
            </w:pPr>
            <w:r w:rsidRPr="00EC2F95">
              <w:t>relevant workplace documentation</w:t>
            </w:r>
          </w:p>
          <w:p w:rsidR="00000000" w:rsidRPr="00EC2F95" w:rsidP="00EC2F95">
            <w:pPr>
              <w:pStyle w:val="ListBullet"/>
            </w:pPr>
            <w:r w:rsidRPr="00EC2F95">
              <w:t>relevant workplace policies and procedures.</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14" w:name="O_1080629"/>
      <w:bookmarkEnd w:id="14"/>
      <w:r w:rsidRPr="00EC2F95">
        <w:t>Assessment Conditions</w:t>
      </w:r>
    </w:p>
    <w:tbl>
      <w:tblPr>
        <w:tblW w:w="9497" w:type="dxa"/>
        <w:tblLayout w:type="fixed"/>
        <w:tblCellMar>
          <w:left w:w="62" w:type="dxa"/>
          <w:right w:w="62" w:type="dxa"/>
        </w:tblCellMar>
        <w:tblLook w:val="0000"/>
      </w:tblPr>
      <w:tblGrid>
        <w:gridCol w:w="9497"/>
      </w:tblGrid>
      <w:tr w:rsidTr="00EC2F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2F95" w:rsidP="00EC2F95">
            <w:pPr>
              <w:pStyle w:val="BodyText"/>
            </w:pPr>
            <w:r w:rsidRPr="00EC2F95">
              <w:t xml:space="preserve">Assessors must hold credentials specified within the Standards for Registered Training Organisations current at the time of assessment. </w:t>
            </w:r>
          </w:p>
          <w:p w:rsidR="00000000" w:rsidRPr="00EC2F95" w:rsidP="00EC2F95">
            <w:pPr>
              <w:pStyle w:val="BodyText"/>
            </w:pPr>
            <w:r w:rsidRPr="00EC2F95">
              <w:t>Assessment must satisfy the Principles of Assessment and Rules of Evidence and all regulatory requirements included wit</w:t>
            </w:r>
            <w:r w:rsidRPr="00EC2F95">
              <w:t>hin the Standards for Registered Training Organisations current at the time of assessment.</w:t>
            </w:r>
          </w:p>
          <w:p w:rsidR="00000000" w:rsidRPr="00EC2F95" w:rsidP="00EC2F95">
            <w:pPr>
              <w:pStyle w:val="BodyText"/>
            </w:pPr>
            <w:r w:rsidRPr="00EC2F95">
              <w:t>Assessment must occur in suitable workplace operational situations where it is appropriate to do so; where this is not appropriate, assessment must occur in simulate</w:t>
            </w:r>
            <w:r w:rsidRPr="00EC2F95">
              <w:t>d suitable workplace operational situations that replicate workplace conditions.</w:t>
            </w:r>
          </w:p>
          <w:p w:rsidR="00000000" w:rsidRPr="00EC2F95" w:rsidP="00EC2F95">
            <w:pPr>
              <w:pStyle w:val="BodyText"/>
            </w:pPr>
            <w:r w:rsidRPr="00EC2F95">
              <w:t>Assessment processes and techniques must be appropriate to the language, literacy and numeracy requirements of the work being performed and the needs of the candidate.</w:t>
            </w:r>
          </w:p>
          <w:p w:rsidR="00000000" w:rsidRPr="00EC2F95" w:rsidP="00EC2F95">
            <w:pPr>
              <w:pStyle w:val="BodyText"/>
            </w:pPr>
            <w:r w:rsidRPr="00EC2F95">
              <w:t>Resourc</w:t>
            </w:r>
            <w:r w:rsidRPr="00EC2F95">
              <w:t>es for assessment must include access to:</w:t>
            </w:r>
          </w:p>
          <w:p w:rsidR="00000000" w:rsidRPr="00EC2F95" w:rsidP="00EC2F95">
            <w:pPr>
              <w:pStyle w:val="ListBullet"/>
            </w:pPr>
            <w:r w:rsidRPr="00EC2F95">
              <w:t>a range of relevant exercises, case studies and/or simulations</w:t>
            </w:r>
          </w:p>
          <w:p w:rsidR="00000000" w:rsidRPr="00EC2F95" w:rsidP="00EC2F95">
            <w:pPr>
              <w:pStyle w:val="ListBullet"/>
            </w:pPr>
            <w:r w:rsidRPr="00EC2F95">
              <w:t xml:space="preserve">relevant and appropriate materials, tools, equipment and personal protective equipment (PPE) currently used in industry </w:t>
            </w:r>
          </w:p>
          <w:p w:rsidR="00000000" w:rsidRPr="00EC2F95" w:rsidP="00EC2F95">
            <w:pPr>
              <w:pStyle w:val="ListBullet"/>
            </w:pPr>
            <w:r w:rsidRPr="00EC2F95">
              <w:t>resources that reflect curren</w:t>
            </w:r>
            <w:r w:rsidRPr="00EC2F95">
              <w:t>t industry practices in relation to designing and developing gate array systems</w:t>
            </w:r>
          </w:p>
          <w:p w:rsidR="00000000" w:rsidRPr="00EC2F95" w:rsidP="00EC2F95">
            <w:pPr>
              <w:pStyle w:val="ListBullet"/>
            </w:pPr>
            <w:r w:rsidRPr="00EC2F95">
              <w:t>applicable documentation, including workplace procedures, equipment specifications, regulations, codes of practice and operation manuals.</w:t>
            </w:r>
          </w:p>
        </w:tc>
      </w:tr>
    </w:tbl>
    <w:p w:rsidR="00000000" w:rsidRPr="00EC2F95" w:rsidP="00EC2F95">
      <w:pPr>
        <w:pStyle w:val="NoPaddingFontSize1"/>
      </w:pPr>
    </w:p>
    <w:p w:rsidR="00000000" w:rsidRPr="00EC2F95" w:rsidP="00EC2F95">
      <w:pPr>
        <w:pStyle w:val="AllowPageBreak"/>
      </w:pPr>
    </w:p>
    <w:p w:rsidR="00000000" w:rsidRPr="00EC2F95" w:rsidP="00EC2F95">
      <w:pPr>
        <w:pStyle w:val="Heading1"/>
      </w:pPr>
      <w:bookmarkStart w:id="15" w:name="O_1080632"/>
      <w:bookmarkEnd w:id="15"/>
      <w:r w:rsidRPr="00EC2F95">
        <w:t>Links</w:t>
      </w:r>
    </w:p>
    <w:p w:rsidR="00000000" w:rsidRPr="00EC2F95" w:rsidP="00527A69">
      <w:pPr>
        <w:pStyle w:val="BodyText"/>
      </w:pPr>
      <w:r w:rsidRPr="00EC2F9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E4AC6">
        <w:rPr>
          <w:rStyle w:val="Hyperlink"/>
        </w:rPr>
        <w:t>https://vetnet.gov.au/Pages/TrainingDocs.aspx?q=b8a8f136-5421-4ce1-92e0-2b50341431b6</w:t>
      </w:r>
      <w:r>
        <w:fldChar w:fldCharType="end"/>
      </w:r>
    </w:p>
    <w:p w:rsidR="00000000" w:rsidRPr="00EC2F95" w:rsidP="00EC2F95"/>
    <w:sectPr w:rsidSect="00EC2F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95" w:rsidRPr="00527A69" w:rsidP="00527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69" w:rsidP="00EC2F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7A69" w:rsidP="00EC2F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27A69" w:rsidP="00EC2F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95" w:rsidP="00EC2F95">
    <w:pPr>
      <w:pStyle w:val="Footer"/>
      <w:framePr w:wrap="around"/>
    </w:pPr>
    <w:r>
      <w:fldChar w:fldCharType="begin"/>
    </w:r>
    <w:r>
      <w:instrText xml:space="preserve"> DOCPROPERTY  Subject  \* MERGEFORMAT </w:instrText>
    </w:r>
    <w:r>
      <w:fldChar w:fldCharType="separate"/>
    </w:r>
    <w:r w:rsidR="00527A69">
      <w:t>Approved</w:t>
    </w:r>
    <w:r w:rsidR="00527A69">
      <w:fldChar w:fldCharType="end"/>
    </w:r>
    <w:r>
      <w:tab/>
      <w:t xml:space="preserve">Page </w:t>
    </w:r>
    <w:r>
      <w:fldChar w:fldCharType="begin"/>
    </w:r>
    <w:r>
      <w:instrText xml:space="preserve"> PAGE  \* Arabic  \* MERGEFORMAT </w:instrText>
    </w:r>
    <w:r>
      <w:fldChar w:fldCharType="separate"/>
    </w:r>
    <w:r w:rsidR="00527A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7A69">
      <w:rPr>
        <w:noProof/>
      </w:rPr>
      <w:t>5</w:t>
    </w:r>
    <w:r>
      <w:rPr>
        <w:noProof/>
      </w:rPr>
      <w:fldChar w:fldCharType="end"/>
    </w:r>
  </w:p>
  <w:p w:rsidR="00EC2F95" w:rsidP="00EC2F95">
    <w:pPr>
      <w:pStyle w:val="Footer"/>
      <w:framePr w:wrap="around"/>
    </w:pPr>
    <w:r>
      <w:t xml:space="preserve">© Commonwealth of Australia, </w:t>
    </w:r>
    <w:r>
      <w:fldChar w:fldCharType="begin"/>
    </w:r>
    <w:r>
      <w:instrText xml:space="preserve"> DATE  \@ "yyyy"  \* MERGEFORMAT </w:instrText>
    </w:r>
    <w:r>
      <w:fldChar w:fldCharType="separate"/>
    </w:r>
    <w:r w:rsidR="00527A69">
      <w:rPr>
        <w:noProof/>
      </w:rPr>
      <w:t>2025</w:t>
    </w:r>
    <w:r>
      <w:fldChar w:fldCharType="end"/>
    </w:r>
    <w:r>
      <w:tab/>
    </w:r>
    <w:r>
      <w:fldChar w:fldCharType="begin"/>
    </w:r>
    <w:r>
      <w:instrText xml:space="preserve"> DOCPROPERTY  Author  \* MERGEFORMAT </w:instrText>
    </w:r>
    <w:r>
      <w:fldChar w:fldCharType="separate"/>
    </w:r>
    <w:r w:rsidR="00527A69">
      <w:t>Powering Skills Organisation</w:t>
    </w:r>
    <w:r w:rsidR="00527A69">
      <w:fldChar w:fldCharType="end"/>
    </w:r>
  </w:p>
  <w:p w:rsidR="00EC2F95" w:rsidP="00EC2F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F95" w:rsidRPr="00527A69" w:rsidP="00527A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A69" w:rsidRPr="002D2AF8" w:rsidP="00EC2F95">
    <w:pPr>
      <w:pStyle w:val="Header"/>
      <w:framePr w:wrap="around"/>
    </w:pPr>
    <w:r>
      <w:fldChar w:fldCharType="begin"/>
    </w:r>
    <w:r>
      <w:instrText xml:space="preserve"> TITLE   \* MERGEFORMAT </w:instrText>
    </w:r>
    <w:r>
      <w:fldChar w:fldCharType="separate"/>
    </w:r>
    <w:r>
      <w:t>UEEEC0054 Provide gate array solutions for complex electronics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7A69" w:rsidP="00EC2F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95" w:rsidRPr="002D2AF8" w:rsidP="00EC2F95">
    <w:pPr>
      <w:pStyle w:val="Header"/>
      <w:framePr w:wrap="around"/>
    </w:pPr>
    <w:r>
      <w:fldChar w:fldCharType="begin"/>
    </w:r>
    <w:r>
      <w:instrText xml:space="preserve"> TITLE   \* MERGEFORMAT </w:instrText>
    </w:r>
    <w:r>
      <w:fldChar w:fldCharType="separate"/>
    </w:r>
    <w:r w:rsidR="00527A69">
      <w:t>UEEEC0054 Provide gate array solutions for complex electronics systems</w:t>
    </w:r>
    <w:r w:rsidR="00527A69">
      <w:fldChar w:fldCharType="end"/>
    </w:r>
    <w:r>
      <w:tab/>
      <w:t xml:space="preserve">Date this document was generated: </w:t>
    </w:r>
    <w:r>
      <w:fldChar w:fldCharType="begin"/>
    </w:r>
    <w:r>
      <w:instrText xml:space="preserve"> CREATEDATE  \@ "d MMMM yyyy"  \* MERGEFORMAT </w:instrText>
    </w:r>
    <w:r>
      <w:fldChar w:fldCharType="separate"/>
    </w:r>
    <w:r w:rsidR="00527A69">
      <w:rPr>
        <w:noProof/>
      </w:rPr>
      <w:t>2 March 2025</w:t>
    </w:r>
    <w:r>
      <w:fldChar w:fldCharType="end"/>
    </w:r>
  </w:p>
  <w:p w:rsidR="00EC2F95" w:rsidP="00EC2F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A4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21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2ADC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F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F95"/>
    <w:pPr>
      <w:spacing w:before="360" w:after="60"/>
      <w:outlineLvl w:val="0"/>
    </w:pPr>
    <w:rPr>
      <w:sz w:val="32"/>
    </w:rPr>
  </w:style>
  <w:style w:type="paragraph" w:styleId="Heading2">
    <w:name w:val="heading 2"/>
    <w:basedOn w:val="HeadingBase"/>
    <w:next w:val="BodyText"/>
    <w:link w:val="Heading2Char"/>
    <w:qFormat/>
    <w:rsid w:val="00EC2F95"/>
    <w:pPr>
      <w:keepLines/>
      <w:spacing w:before="240" w:after="120"/>
      <w:outlineLvl w:val="1"/>
    </w:pPr>
    <w:rPr>
      <w:sz w:val="28"/>
      <w:szCs w:val="40"/>
    </w:rPr>
  </w:style>
  <w:style w:type="paragraph" w:styleId="Heading3">
    <w:name w:val="heading 3"/>
    <w:basedOn w:val="HeadingBase"/>
    <w:next w:val="BodyText"/>
    <w:link w:val="Heading3Char"/>
    <w:qFormat/>
    <w:rsid w:val="00EC2F95"/>
    <w:pPr>
      <w:spacing w:before="180" w:after="120"/>
      <w:outlineLvl w:val="2"/>
    </w:pPr>
    <w:rPr>
      <w:spacing w:val="-10"/>
      <w:kern w:val="32"/>
    </w:rPr>
  </w:style>
  <w:style w:type="paragraph" w:styleId="Heading4">
    <w:name w:val="heading 4"/>
    <w:basedOn w:val="HeadingBase"/>
    <w:next w:val="BodyText"/>
    <w:link w:val="Heading4Char"/>
    <w:qFormat/>
    <w:rsid w:val="00EC2F95"/>
    <w:pPr>
      <w:spacing w:before="160" w:after="120"/>
      <w:outlineLvl w:val="3"/>
    </w:pPr>
    <w:rPr>
      <w:sz w:val="22"/>
    </w:rPr>
  </w:style>
  <w:style w:type="paragraph" w:styleId="Heading5">
    <w:name w:val="heading 5"/>
    <w:basedOn w:val="HeadingBase"/>
    <w:next w:val="Normal"/>
    <w:link w:val="Heading5Char"/>
    <w:qFormat/>
    <w:rsid w:val="00EC2F95"/>
    <w:pPr>
      <w:spacing w:before="80"/>
      <w:outlineLvl w:val="4"/>
    </w:pPr>
    <w:rPr>
      <w:color w:val="918585"/>
      <w:sz w:val="20"/>
    </w:rPr>
  </w:style>
  <w:style w:type="paragraph" w:styleId="Heading6">
    <w:name w:val="heading 6"/>
    <w:basedOn w:val="HeadingBase"/>
    <w:next w:val="Normal"/>
    <w:link w:val="Heading6Char"/>
    <w:qFormat/>
    <w:rsid w:val="00EC2F95"/>
    <w:pPr>
      <w:spacing w:before="60"/>
      <w:outlineLvl w:val="5"/>
    </w:pPr>
    <w:rPr>
      <w:color w:val="918585"/>
      <w:sz w:val="20"/>
    </w:rPr>
  </w:style>
  <w:style w:type="paragraph" w:styleId="Heading7">
    <w:name w:val="heading 7"/>
    <w:basedOn w:val="Normal"/>
    <w:next w:val="Normal"/>
    <w:link w:val="Heading7Char"/>
    <w:qFormat/>
    <w:rsid w:val="00EC2F95"/>
    <w:pPr>
      <w:ind w:left="720"/>
      <w:outlineLvl w:val="6"/>
    </w:pPr>
    <w:rPr>
      <w:i/>
    </w:rPr>
  </w:style>
  <w:style w:type="paragraph" w:styleId="Heading8">
    <w:name w:val="heading 8"/>
    <w:basedOn w:val="Normal"/>
    <w:next w:val="Normal"/>
    <w:link w:val="Heading8Char"/>
    <w:qFormat/>
    <w:rsid w:val="00EC2F95"/>
    <w:pPr>
      <w:ind w:left="720"/>
      <w:outlineLvl w:val="7"/>
    </w:pPr>
    <w:rPr>
      <w:i/>
    </w:rPr>
  </w:style>
  <w:style w:type="paragraph" w:styleId="Heading9">
    <w:name w:val="heading 9"/>
    <w:basedOn w:val="Normal"/>
    <w:next w:val="Normal"/>
    <w:link w:val="Heading9Char"/>
    <w:qFormat/>
    <w:rsid w:val="00EC2F95"/>
    <w:pPr>
      <w:ind w:left="720"/>
      <w:outlineLvl w:val="8"/>
    </w:pPr>
    <w:rPr>
      <w:i/>
    </w:rPr>
  </w:style>
  <w:style w:type="character" w:default="1" w:styleId="DefaultParagraphFont">
    <w:name w:val="Default Paragraph Font"/>
    <w:uiPriority w:val="1"/>
    <w:unhideWhenUsed/>
    <w:rsid w:val="00EC2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F95"/>
  </w:style>
  <w:style w:type="character" w:customStyle="1" w:styleId="Heading1Char">
    <w:name w:val="Heading 1 Char"/>
    <w:basedOn w:val="DefaultParagraphFont"/>
    <w:link w:val="Heading1"/>
    <w:rsid w:val="00EC2F95"/>
    <w:rPr>
      <w:rFonts w:ascii="Times New Roman" w:eastAsia="Times New Roman" w:hAnsi="Times New Roman" w:cs="Times New Roman"/>
      <w:b/>
      <w:sz w:val="32"/>
      <w:szCs w:val="20"/>
      <w:lang w:eastAsia="en-US"/>
    </w:rPr>
  </w:style>
  <w:style w:type="paragraph" w:styleId="BodyText">
    <w:name w:val="Body Text"/>
    <w:basedOn w:val="Normal"/>
    <w:link w:val="BodyTextChar"/>
    <w:rsid w:val="00EC2F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F95"/>
    <w:rPr>
      <w:rFonts w:ascii="Times New Roman" w:eastAsia="Times New Roman" w:hAnsi="Times New Roman" w:cs="Times New Roman"/>
      <w:sz w:val="24"/>
      <w:lang w:eastAsia="en-US"/>
    </w:rPr>
  </w:style>
  <w:style w:type="paragraph" w:styleId="ListBullet">
    <w:name w:val="List Bullet"/>
    <w:basedOn w:val="List"/>
    <w:rsid w:val="00EC2F95"/>
    <w:pPr>
      <w:numPr>
        <w:numId w:val="12"/>
      </w:numPr>
      <w:tabs>
        <w:tab w:val="clear" w:pos="340"/>
      </w:tabs>
      <w:spacing w:before="40" w:after="40"/>
    </w:pPr>
  </w:style>
  <w:style w:type="character" w:customStyle="1" w:styleId="SpecialBold">
    <w:name w:val="Special Bold"/>
    <w:basedOn w:val="DefaultParagraphFont"/>
    <w:rsid w:val="00EC2F95"/>
    <w:rPr>
      <w:b/>
      <w:spacing w:val="0"/>
    </w:rPr>
  </w:style>
  <w:style w:type="paragraph" w:styleId="ListBullet2">
    <w:name w:val="List Bullet 2"/>
    <w:basedOn w:val="List2"/>
    <w:rsid w:val="00EC2F95"/>
    <w:pPr>
      <w:numPr>
        <w:numId w:val="13"/>
      </w:numPr>
      <w:tabs>
        <w:tab w:val="clear" w:pos="680"/>
      </w:tabs>
    </w:pPr>
  </w:style>
  <w:style w:type="paragraph" w:customStyle="1" w:styleId="SuperHeading">
    <w:name w:val="SuperHeading"/>
    <w:basedOn w:val="Normal"/>
    <w:rsid w:val="00EC2F95"/>
    <w:pPr>
      <w:spacing w:before="240" w:after="120"/>
      <w:outlineLvl w:val="0"/>
    </w:pPr>
    <w:rPr>
      <w:rFonts w:ascii="Times New Roman" w:hAnsi="Times New Roman"/>
      <w:b/>
      <w:sz w:val="32"/>
    </w:rPr>
  </w:style>
  <w:style w:type="paragraph" w:customStyle="1" w:styleId="AllowPageBreak">
    <w:name w:val="AllowPageBreak"/>
    <w:rsid w:val="00EC2F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2F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F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F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F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F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F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F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F95"/>
    <w:rPr>
      <w:rFonts w:ascii="Courier New" w:eastAsia="Times New Roman" w:hAnsi="Courier New" w:cs="Times New Roman"/>
      <w:i/>
      <w:szCs w:val="20"/>
      <w:lang w:eastAsia="en-US"/>
    </w:rPr>
  </w:style>
  <w:style w:type="paragraph" w:customStyle="1" w:styleId="HeadingBase">
    <w:name w:val="Heading Base"/>
    <w:rsid w:val="00EC2F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F95"/>
    <w:pPr>
      <w:tabs>
        <w:tab w:val="right" w:leader="dot" w:pos="9072"/>
      </w:tabs>
      <w:ind w:left="567"/>
    </w:pPr>
    <w:rPr>
      <w:szCs w:val="22"/>
    </w:rPr>
  </w:style>
  <w:style w:type="paragraph" w:customStyle="1" w:styleId="TOCBase">
    <w:name w:val="TOC Base"/>
    <w:rsid w:val="00EC2F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F95"/>
    <w:pPr>
      <w:tabs>
        <w:tab w:val="right" w:leader="dot" w:pos="9072"/>
      </w:tabs>
      <w:spacing w:before="40" w:after="40"/>
      <w:ind w:left="284"/>
    </w:pPr>
    <w:rPr>
      <w:rFonts w:ascii="Times New Roman" w:hAnsi="Times New Roman"/>
    </w:rPr>
  </w:style>
  <w:style w:type="paragraph" w:styleId="TOC1">
    <w:name w:val="toc 1"/>
    <w:basedOn w:val="TOCBase"/>
    <w:next w:val="Normal"/>
    <w:rsid w:val="00EC2F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F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F95"/>
    <w:rPr>
      <w:rFonts w:ascii="Times New Roman" w:eastAsia="Times New Roman" w:hAnsi="Times New Roman" w:cs="Times New Roman"/>
      <w:sz w:val="16"/>
      <w:lang w:eastAsia="en-US"/>
    </w:rPr>
  </w:style>
  <w:style w:type="paragraph" w:styleId="Title">
    <w:name w:val="Title"/>
    <w:basedOn w:val="HeadingBase"/>
    <w:link w:val="TitleChar"/>
    <w:qFormat/>
    <w:rsid w:val="00EC2F95"/>
    <w:pPr>
      <w:spacing w:before="5040"/>
      <w:jc w:val="center"/>
    </w:pPr>
    <w:rPr>
      <w:sz w:val="48"/>
      <w:szCs w:val="72"/>
      <w:lang w:val="en-US"/>
    </w:rPr>
  </w:style>
  <w:style w:type="character" w:customStyle="1" w:styleId="TitleChar">
    <w:name w:val="Title Char"/>
    <w:basedOn w:val="DefaultParagraphFont"/>
    <w:link w:val="Title"/>
    <w:rsid w:val="00EC2F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F95"/>
    <w:pPr>
      <w:tabs>
        <w:tab w:val="left" w:pos="3600"/>
        <w:tab w:val="left" w:pos="3958"/>
      </w:tabs>
    </w:pPr>
  </w:style>
  <w:style w:type="paragraph" w:styleId="List">
    <w:name w:val="List"/>
    <w:basedOn w:val="BodyText"/>
    <w:next w:val="BodyText"/>
    <w:rsid w:val="00EC2F95"/>
    <w:pPr>
      <w:tabs>
        <w:tab w:val="left" w:pos="340"/>
      </w:tabs>
      <w:spacing w:before="60" w:after="60"/>
      <w:ind w:left="340" w:hanging="340"/>
    </w:pPr>
  </w:style>
  <w:style w:type="paragraph" w:customStyle="1" w:styleId="Note">
    <w:name w:val="Note"/>
    <w:basedOn w:val="BodyText"/>
    <w:rsid w:val="00EC2F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F95"/>
    <w:pPr>
      <w:framePr w:wrap="auto" w:hAnchor="text" w:y="6049"/>
    </w:pPr>
    <w:rPr>
      <w:color w:val="000000"/>
      <w:sz w:val="40"/>
    </w:rPr>
  </w:style>
  <w:style w:type="paragraph" w:customStyle="1" w:styleId="TOCTitle">
    <w:name w:val="TOCTitle"/>
    <w:basedOn w:val="Heading1"/>
    <w:rsid w:val="00EC2F95"/>
    <w:pPr>
      <w:spacing w:after="240"/>
      <w:jc w:val="center"/>
      <w:outlineLvl w:val="9"/>
    </w:pPr>
    <w:rPr>
      <w:caps/>
    </w:rPr>
  </w:style>
  <w:style w:type="paragraph" w:customStyle="1" w:styleId="Version">
    <w:name w:val="Version"/>
    <w:rsid w:val="00EC2F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F95"/>
    <w:pPr>
      <w:keepNext w:val="0"/>
      <w:tabs>
        <w:tab w:val="right" w:pos="4176"/>
      </w:tabs>
      <w:ind w:left="198" w:hanging="198"/>
    </w:pPr>
    <w:rPr>
      <w:rFonts w:ascii="Garamond" w:hAnsi="Garamond"/>
    </w:rPr>
  </w:style>
  <w:style w:type="paragraph" w:styleId="IndexHeading">
    <w:name w:val="index heading"/>
    <w:basedOn w:val="Normal"/>
    <w:next w:val="Index1"/>
    <w:semiHidden/>
    <w:rsid w:val="00EC2F95"/>
    <w:pPr>
      <w:spacing w:before="120" w:after="120"/>
    </w:pPr>
    <w:rPr>
      <w:rFonts w:ascii="Arial" w:hAnsi="Arial"/>
      <w:b/>
      <w:color w:val="918585"/>
      <w:sz w:val="24"/>
    </w:rPr>
  </w:style>
  <w:style w:type="paragraph" w:styleId="Header">
    <w:name w:val="header"/>
    <w:basedOn w:val="Normal"/>
    <w:link w:val="HeaderChar"/>
    <w:rsid w:val="00EC2F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F95"/>
    <w:rPr>
      <w:rFonts w:ascii="Times New Roman" w:eastAsia="Times New Roman" w:hAnsi="Times New Roman" w:cs="Times New Roman"/>
      <w:sz w:val="16"/>
      <w:szCs w:val="20"/>
      <w:lang w:val="en-GB" w:eastAsia="en-US"/>
    </w:rPr>
  </w:style>
  <w:style w:type="paragraph" w:customStyle="1" w:styleId="Chapter">
    <w:name w:val="Chapter"/>
    <w:basedOn w:val="Normal"/>
    <w:rsid w:val="00EC2F95"/>
    <w:pPr>
      <w:spacing w:before="240"/>
    </w:pPr>
    <w:rPr>
      <w:rFonts w:ascii="Times New Roman" w:hAnsi="Times New Roman"/>
      <w:smallCaps/>
      <w:spacing w:val="80"/>
      <w:sz w:val="28"/>
    </w:rPr>
  </w:style>
  <w:style w:type="paragraph" w:customStyle="1" w:styleId="InChapter">
    <w:name w:val="InChapter"/>
    <w:basedOn w:val="Heading3"/>
    <w:rsid w:val="00EC2F95"/>
    <w:pPr>
      <w:spacing w:after="240"/>
      <w:outlineLvl w:val="9"/>
    </w:pPr>
    <w:rPr>
      <w:noProof/>
    </w:rPr>
  </w:style>
  <w:style w:type="paragraph" w:styleId="Index2">
    <w:name w:val="index 2"/>
    <w:basedOn w:val="Normal"/>
    <w:next w:val="Normal"/>
    <w:semiHidden/>
    <w:rsid w:val="00EC2F95"/>
    <w:pPr>
      <w:tabs>
        <w:tab w:val="right" w:pos="4176"/>
      </w:tabs>
      <w:ind w:left="568" w:hanging="284"/>
    </w:pPr>
    <w:rPr>
      <w:rFonts w:ascii="Garamond" w:hAnsi="Garamond"/>
    </w:rPr>
  </w:style>
  <w:style w:type="paragraph" w:customStyle="1" w:styleId="Byline">
    <w:name w:val="Byline"/>
    <w:rsid w:val="00EC2F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F95"/>
    <w:pPr>
      <w:tabs>
        <w:tab w:val="clear" w:pos="3600"/>
        <w:tab w:val="clear" w:pos="3958"/>
      </w:tabs>
      <w:jc w:val="right"/>
    </w:pPr>
  </w:style>
  <w:style w:type="character" w:styleId="Emphasis">
    <w:name w:val="Emphasis"/>
    <w:basedOn w:val="DefaultParagraphFont"/>
    <w:qFormat/>
    <w:rsid w:val="00EC2F95"/>
    <w:rPr>
      <w:i/>
    </w:rPr>
  </w:style>
  <w:style w:type="paragraph" w:styleId="Caption">
    <w:name w:val="caption"/>
    <w:basedOn w:val="BodyText"/>
    <w:next w:val="Normal"/>
    <w:qFormat/>
    <w:rsid w:val="00EC2F95"/>
    <w:pPr>
      <w:framePr w:w="2268" w:hSpace="181" w:vSpace="181" w:wrap="around" w:vAnchor="text" w:hAnchor="page" w:x="1135" w:y="285" w:anchorLock="1"/>
    </w:pPr>
    <w:rPr>
      <w:i/>
    </w:rPr>
  </w:style>
  <w:style w:type="paragraph" w:customStyle="1" w:styleId="MiniTOCTitle">
    <w:name w:val="MiniTOCTitle"/>
    <w:basedOn w:val="Heading4"/>
    <w:rsid w:val="00EC2F95"/>
    <w:pPr>
      <w:spacing w:before="240"/>
      <w:outlineLvl w:val="9"/>
    </w:pPr>
    <w:rPr>
      <w:noProof/>
      <w:sz w:val="24"/>
    </w:rPr>
  </w:style>
  <w:style w:type="paragraph" w:customStyle="1" w:styleId="MiniTOCItem">
    <w:name w:val="MiniTOCItem"/>
    <w:basedOn w:val="ListBullet"/>
    <w:rsid w:val="00EC2F95"/>
    <w:pPr>
      <w:numPr>
        <w:numId w:val="0"/>
      </w:numPr>
      <w:tabs>
        <w:tab w:val="right" w:leader="dot" w:pos="6521"/>
      </w:tabs>
      <w:spacing w:before="0" w:after="0"/>
    </w:pPr>
  </w:style>
  <w:style w:type="paragraph" w:customStyle="1" w:styleId="TOFTitle">
    <w:name w:val="TOFTitle"/>
    <w:basedOn w:val="TOCTitle"/>
    <w:rsid w:val="00EC2F95"/>
  </w:style>
  <w:style w:type="paragraph" w:styleId="TableofFigures">
    <w:name w:val="table of figures"/>
    <w:basedOn w:val="Normal"/>
    <w:next w:val="Normal"/>
    <w:semiHidden/>
    <w:rsid w:val="00EC2F95"/>
    <w:pPr>
      <w:tabs>
        <w:tab w:val="right" w:leader="dot" w:pos="9072"/>
      </w:tabs>
      <w:ind w:left="970" w:hanging="403"/>
    </w:pPr>
    <w:rPr>
      <w:rFonts w:ascii="Times New Roman" w:hAnsi="Times New Roman"/>
      <w:b/>
    </w:rPr>
  </w:style>
  <w:style w:type="paragraph" w:styleId="ListNumber">
    <w:name w:val="List Number"/>
    <w:basedOn w:val="List"/>
    <w:rsid w:val="00EC2F95"/>
    <w:pPr>
      <w:numPr>
        <w:numId w:val="15"/>
      </w:numPr>
      <w:tabs>
        <w:tab w:val="clear" w:pos="340"/>
      </w:tabs>
    </w:pPr>
  </w:style>
  <w:style w:type="character" w:customStyle="1" w:styleId="WingdingSymbols">
    <w:name w:val="Wingding Symbols"/>
    <w:rsid w:val="00EC2F95"/>
    <w:rPr>
      <w:rFonts w:ascii="Wingdings" w:hAnsi="Wingdings"/>
    </w:rPr>
  </w:style>
  <w:style w:type="paragraph" w:customStyle="1" w:styleId="TableHeading">
    <w:name w:val="Table Heading"/>
    <w:basedOn w:val="HeadingBase"/>
    <w:rsid w:val="00EC2F95"/>
    <w:pPr>
      <w:keepLines/>
      <w:pBdr>
        <w:bottom w:val="single" w:sz="6" w:space="1" w:color="918585"/>
      </w:pBdr>
      <w:spacing w:before="240"/>
    </w:pPr>
  </w:style>
  <w:style w:type="character" w:customStyle="1" w:styleId="HotSpot">
    <w:name w:val="HotSpot"/>
    <w:rsid w:val="00EC2F95"/>
    <w:rPr>
      <w:color w:val="0033CC"/>
      <w:u w:val="none"/>
    </w:rPr>
  </w:style>
  <w:style w:type="paragraph" w:customStyle="1" w:styleId="BodyTextRight">
    <w:name w:val="Body Text Right"/>
    <w:basedOn w:val="BodyText"/>
    <w:rsid w:val="00EC2F95"/>
    <w:pPr>
      <w:spacing w:before="0" w:after="0"/>
      <w:jc w:val="right"/>
    </w:pPr>
  </w:style>
  <w:style w:type="paragraph" w:styleId="Index3">
    <w:name w:val="index 3"/>
    <w:basedOn w:val="ListNumber2"/>
    <w:next w:val="Normal"/>
    <w:semiHidden/>
    <w:rsid w:val="00EC2F95"/>
    <w:pPr>
      <w:numPr>
        <w:numId w:val="0"/>
      </w:numPr>
      <w:tabs>
        <w:tab w:val="right" w:leader="dot" w:pos="4176"/>
      </w:tabs>
    </w:pPr>
  </w:style>
  <w:style w:type="paragraph" w:styleId="ListNumber2">
    <w:name w:val="List Number 2"/>
    <w:basedOn w:val="List2"/>
    <w:rsid w:val="00EC2F95"/>
    <w:pPr>
      <w:numPr>
        <w:numId w:val="10"/>
      </w:numPr>
      <w:tabs>
        <w:tab w:val="clear" w:pos="1060"/>
      </w:tabs>
    </w:pPr>
  </w:style>
  <w:style w:type="paragraph" w:customStyle="1" w:styleId="MarginNote">
    <w:name w:val="Margin Note"/>
    <w:basedOn w:val="BodyText"/>
    <w:rsid w:val="00EC2F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F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F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F95"/>
    <w:rPr>
      <w:sz w:val="32"/>
    </w:rPr>
  </w:style>
  <w:style w:type="paragraph" w:customStyle="1" w:styleId="HeadingProcedure">
    <w:name w:val="Heading Procedure"/>
    <w:basedOn w:val="HeadingBase"/>
    <w:next w:val="Normal"/>
    <w:rsid w:val="00EC2F95"/>
    <w:pPr>
      <w:tabs>
        <w:tab w:val="left" w:pos="0"/>
      </w:tabs>
      <w:spacing w:before="120" w:after="60"/>
    </w:pPr>
    <w:rPr>
      <w:i/>
      <w:color w:val="918585"/>
      <w:sz w:val="22"/>
    </w:rPr>
  </w:style>
  <w:style w:type="paragraph" w:customStyle="1" w:styleId="TableBodyText">
    <w:name w:val="Table Body Text"/>
    <w:basedOn w:val="BodyText"/>
    <w:rsid w:val="00EC2F95"/>
    <w:pPr>
      <w:spacing w:before="60" w:after="60"/>
    </w:pPr>
  </w:style>
  <w:style w:type="paragraph" w:styleId="ListContinue">
    <w:name w:val="List Continue"/>
    <w:basedOn w:val="List"/>
    <w:rsid w:val="00EC2F95"/>
    <w:pPr>
      <w:ind w:firstLine="0"/>
    </w:pPr>
  </w:style>
  <w:style w:type="paragraph" w:customStyle="1" w:styleId="ListNote">
    <w:name w:val="List Note"/>
    <w:basedOn w:val="List"/>
    <w:rsid w:val="00EC2F95"/>
    <w:pPr>
      <w:pBdr>
        <w:top w:val="single" w:sz="6" w:space="2" w:color="918585"/>
        <w:bottom w:val="single" w:sz="6" w:space="2" w:color="918585"/>
      </w:pBdr>
      <w:tabs>
        <w:tab w:val="left" w:pos="1021"/>
      </w:tabs>
      <w:ind w:firstLine="0"/>
    </w:pPr>
  </w:style>
  <w:style w:type="paragraph" w:customStyle="1" w:styleId="Warning">
    <w:name w:val="Warning"/>
    <w:basedOn w:val="BodyText"/>
    <w:rsid w:val="00EC2F95"/>
    <w:pPr>
      <w:shd w:val="clear" w:color="auto" w:fill="D9D9D9"/>
      <w:tabs>
        <w:tab w:val="left" w:pos="992"/>
      </w:tabs>
      <w:ind w:left="119" w:right="119"/>
    </w:pPr>
    <w:rPr>
      <w:sz w:val="20"/>
    </w:rPr>
  </w:style>
  <w:style w:type="paragraph" w:customStyle="1" w:styleId="MarginIcons">
    <w:name w:val="Margin Icons"/>
    <w:basedOn w:val="BodyText"/>
    <w:rsid w:val="00EC2F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F95"/>
    <w:rPr>
      <w:rFonts w:ascii="Courier New" w:hAnsi="Courier New"/>
    </w:rPr>
  </w:style>
  <w:style w:type="paragraph" w:customStyle="1" w:styleId="NoteBullet">
    <w:name w:val="Note Bullet"/>
    <w:basedOn w:val="Note"/>
    <w:rsid w:val="00EC2F95"/>
    <w:pPr>
      <w:tabs>
        <w:tab w:val="clear" w:pos="680"/>
      </w:tabs>
      <w:spacing w:before="60" w:after="60"/>
    </w:pPr>
  </w:style>
  <w:style w:type="paragraph" w:customStyle="1" w:styleId="SubHeading2">
    <w:name w:val="SubHeading2"/>
    <w:basedOn w:val="HeadingBase"/>
    <w:rsid w:val="00EC2F95"/>
    <w:pPr>
      <w:spacing w:before="240" w:after="60"/>
    </w:pPr>
    <w:rPr>
      <w:sz w:val="20"/>
    </w:rPr>
  </w:style>
  <w:style w:type="paragraph" w:customStyle="1" w:styleId="SubHeading1">
    <w:name w:val="SubHeading1"/>
    <w:basedOn w:val="HeadingBase"/>
    <w:rsid w:val="00EC2F95"/>
    <w:pPr>
      <w:spacing w:before="240" w:after="60"/>
    </w:pPr>
    <w:rPr>
      <w:color w:val="918585"/>
      <w:sz w:val="22"/>
    </w:rPr>
  </w:style>
  <w:style w:type="paragraph" w:customStyle="1" w:styleId="SideHeading">
    <w:name w:val="Side Heading"/>
    <w:basedOn w:val="HeadingBase"/>
    <w:rsid w:val="00EC2F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F95"/>
    <w:pPr>
      <w:tabs>
        <w:tab w:val="num" w:pos="360"/>
      </w:tabs>
    </w:pPr>
  </w:style>
  <w:style w:type="paragraph" w:styleId="PlainText">
    <w:name w:val="Plain Text"/>
    <w:basedOn w:val="Normal"/>
    <w:link w:val="PlainTextChar"/>
    <w:rsid w:val="00EC2F95"/>
    <w:rPr>
      <w:sz w:val="20"/>
    </w:rPr>
  </w:style>
  <w:style w:type="character" w:customStyle="1" w:styleId="PlainTextChar">
    <w:name w:val="Plain Text Char"/>
    <w:basedOn w:val="DefaultParagraphFont"/>
    <w:link w:val="PlainText"/>
    <w:rsid w:val="00EC2F95"/>
    <w:rPr>
      <w:rFonts w:ascii="Courier New" w:eastAsia="Times New Roman" w:hAnsi="Courier New" w:cs="Times New Roman"/>
      <w:sz w:val="20"/>
      <w:szCs w:val="20"/>
      <w:lang w:eastAsia="en-US"/>
    </w:rPr>
  </w:style>
  <w:style w:type="character" w:customStyle="1" w:styleId="MenuOption">
    <w:name w:val="Menu Option"/>
    <w:basedOn w:val="DefaultParagraphFont"/>
    <w:rsid w:val="00EC2F95"/>
    <w:rPr>
      <w:b/>
      <w:smallCaps/>
    </w:rPr>
  </w:style>
  <w:style w:type="paragraph" w:customStyle="1" w:styleId="TableListNumber">
    <w:name w:val="Table List Number"/>
    <w:basedOn w:val="ListNumber"/>
    <w:rsid w:val="00EC2F95"/>
    <w:pPr>
      <w:numPr>
        <w:numId w:val="0"/>
      </w:numPr>
    </w:pPr>
  </w:style>
  <w:style w:type="paragraph" w:styleId="TOC4">
    <w:name w:val="toc 4"/>
    <w:basedOn w:val="TOCBase"/>
    <w:next w:val="Normal"/>
    <w:semiHidden/>
    <w:rsid w:val="00EC2F95"/>
    <w:pPr>
      <w:tabs>
        <w:tab w:val="right" w:leader="dot" w:pos="9071"/>
      </w:tabs>
      <w:ind w:left="1701"/>
    </w:pPr>
  </w:style>
  <w:style w:type="paragraph" w:customStyle="1" w:styleId="ListAlpha">
    <w:name w:val="List Alpha"/>
    <w:basedOn w:val="List"/>
    <w:rsid w:val="00EC2F95"/>
    <w:pPr>
      <w:numPr>
        <w:numId w:val="9"/>
      </w:numPr>
    </w:pPr>
  </w:style>
  <w:style w:type="paragraph" w:customStyle="1" w:styleId="ListAlpha2">
    <w:name w:val="List Alpha 2"/>
    <w:basedOn w:val="List2"/>
    <w:rsid w:val="00EC2F95"/>
    <w:pPr>
      <w:numPr>
        <w:numId w:val="8"/>
      </w:numPr>
    </w:pPr>
  </w:style>
  <w:style w:type="paragraph" w:styleId="List2">
    <w:name w:val="List 2"/>
    <w:basedOn w:val="BodyText"/>
    <w:rsid w:val="00EC2F95"/>
    <w:pPr>
      <w:tabs>
        <w:tab w:val="left" w:pos="680"/>
      </w:tabs>
      <w:spacing w:before="60" w:after="60"/>
      <w:ind w:left="680" w:hanging="340"/>
    </w:pPr>
  </w:style>
  <w:style w:type="paragraph" w:styleId="List3">
    <w:name w:val="List 3"/>
    <w:basedOn w:val="BodyText"/>
    <w:rsid w:val="00EC2F95"/>
    <w:pPr>
      <w:tabs>
        <w:tab w:val="left" w:pos="1021"/>
      </w:tabs>
      <w:spacing w:before="60" w:after="60"/>
      <w:ind w:left="1020" w:hanging="340"/>
    </w:pPr>
  </w:style>
  <w:style w:type="paragraph" w:styleId="List4">
    <w:name w:val="List 4"/>
    <w:basedOn w:val="BodyText"/>
    <w:rsid w:val="00EC2F95"/>
    <w:pPr>
      <w:tabs>
        <w:tab w:val="left" w:pos="1361"/>
      </w:tabs>
      <w:spacing w:before="60" w:after="60"/>
      <w:ind w:left="1361" w:hanging="340"/>
    </w:pPr>
  </w:style>
  <w:style w:type="paragraph" w:styleId="List5">
    <w:name w:val="List 5"/>
    <w:basedOn w:val="BodyText"/>
    <w:rsid w:val="00EC2F95"/>
    <w:pPr>
      <w:tabs>
        <w:tab w:val="left" w:pos="1701"/>
      </w:tabs>
      <w:spacing w:before="60" w:after="60"/>
      <w:ind w:left="1701" w:hanging="340"/>
    </w:pPr>
  </w:style>
  <w:style w:type="paragraph" w:styleId="ListBullet3">
    <w:name w:val="List Bullet 3"/>
    <w:basedOn w:val="List3"/>
    <w:rsid w:val="00EC2F95"/>
    <w:pPr>
      <w:numPr>
        <w:numId w:val="14"/>
      </w:numPr>
      <w:tabs>
        <w:tab w:val="clear" w:pos="1021"/>
      </w:tabs>
      <w:ind w:left="1037" w:hanging="357"/>
    </w:pPr>
  </w:style>
  <w:style w:type="paragraph" w:styleId="ListBullet4">
    <w:name w:val="List Bullet 4"/>
    <w:basedOn w:val="List4"/>
    <w:rsid w:val="00EC2F95"/>
    <w:pPr>
      <w:numPr>
        <w:numId w:val="3"/>
      </w:numPr>
      <w:tabs>
        <w:tab w:val="clear" w:pos="1361"/>
      </w:tabs>
    </w:pPr>
  </w:style>
  <w:style w:type="paragraph" w:styleId="ListBullet5">
    <w:name w:val="List Bullet 5"/>
    <w:basedOn w:val="List5"/>
    <w:rsid w:val="00EC2F95"/>
    <w:pPr>
      <w:numPr>
        <w:numId w:val="4"/>
      </w:numPr>
    </w:pPr>
  </w:style>
  <w:style w:type="paragraph" w:styleId="ListContinue2">
    <w:name w:val="List Continue 2"/>
    <w:basedOn w:val="List2"/>
    <w:rsid w:val="00EC2F95"/>
    <w:pPr>
      <w:ind w:firstLine="0"/>
    </w:pPr>
  </w:style>
  <w:style w:type="paragraph" w:styleId="ListContinue3">
    <w:name w:val="List Continue 3"/>
    <w:basedOn w:val="List3"/>
    <w:rsid w:val="00EC2F95"/>
    <w:pPr>
      <w:ind w:left="1021" w:firstLine="0"/>
    </w:pPr>
  </w:style>
  <w:style w:type="paragraph" w:styleId="ListContinue4">
    <w:name w:val="List Continue 4"/>
    <w:basedOn w:val="List4"/>
    <w:rsid w:val="00EC2F95"/>
    <w:pPr>
      <w:ind w:firstLine="0"/>
    </w:pPr>
  </w:style>
  <w:style w:type="paragraph" w:styleId="ListContinue5">
    <w:name w:val="List Continue 5"/>
    <w:basedOn w:val="List5"/>
    <w:rsid w:val="00EC2F95"/>
    <w:pPr>
      <w:ind w:firstLine="0"/>
    </w:pPr>
  </w:style>
  <w:style w:type="paragraph" w:styleId="ListNumber3">
    <w:name w:val="List Number 3"/>
    <w:basedOn w:val="List3"/>
    <w:rsid w:val="00EC2F95"/>
    <w:pPr>
      <w:numPr>
        <w:numId w:val="5"/>
      </w:numPr>
    </w:pPr>
  </w:style>
  <w:style w:type="paragraph" w:styleId="ListNumber4">
    <w:name w:val="List Number 4"/>
    <w:basedOn w:val="List4"/>
    <w:rsid w:val="00EC2F95"/>
    <w:pPr>
      <w:numPr>
        <w:numId w:val="6"/>
      </w:numPr>
    </w:pPr>
  </w:style>
  <w:style w:type="paragraph" w:styleId="ListNumber5">
    <w:name w:val="List Number 5"/>
    <w:basedOn w:val="List5"/>
    <w:rsid w:val="00EC2F95"/>
    <w:pPr>
      <w:numPr>
        <w:numId w:val="7"/>
      </w:numPr>
    </w:pPr>
  </w:style>
  <w:style w:type="paragraph" w:styleId="BlockText">
    <w:name w:val="Block Text"/>
    <w:basedOn w:val="Normal"/>
    <w:rsid w:val="00EC2F95"/>
    <w:pPr>
      <w:spacing w:after="120"/>
      <w:ind w:left="1440" w:right="1440"/>
    </w:pPr>
  </w:style>
  <w:style w:type="character" w:customStyle="1" w:styleId="Subscript">
    <w:name w:val="Subscript"/>
    <w:basedOn w:val="DefaultParagraphFont"/>
    <w:rsid w:val="00EC2F95"/>
    <w:rPr>
      <w:sz w:val="16"/>
      <w:vertAlign w:val="subscript"/>
    </w:rPr>
  </w:style>
  <w:style w:type="character" w:customStyle="1" w:styleId="Superscript">
    <w:name w:val="Superscript"/>
    <w:basedOn w:val="DefaultParagraphFont"/>
    <w:rsid w:val="00EC2F95"/>
    <w:rPr>
      <w:sz w:val="16"/>
      <w:vertAlign w:val="superscript"/>
    </w:rPr>
  </w:style>
  <w:style w:type="character" w:customStyle="1" w:styleId="Symbols">
    <w:name w:val="Symbols"/>
    <w:basedOn w:val="DefaultParagraphFont"/>
    <w:rsid w:val="00EC2F95"/>
    <w:rPr>
      <w:rFonts w:ascii="Symbol" w:hAnsi="Symbol"/>
    </w:rPr>
  </w:style>
  <w:style w:type="character" w:customStyle="1" w:styleId="MenuOptions">
    <w:name w:val="Menu Options"/>
    <w:basedOn w:val="DefaultParagraphFont"/>
    <w:rsid w:val="00EC2F95"/>
    <w:rPr>
      <w:rFonts w:ascii="Arial Narrow" w:hAnsi="Arial Narrow"/>
      <w:smallCaps/>
    </w:rPr>
  </w:style>
  <w:style w:type="character" w:customStyle="1" w:styleId="Buttons">
    <w:name w:val="Buttons"/>
    <w:basedOn w:val="DefaultParagraphFont"/>
    <w:rsid w:val="00EC2F95"/>
    <w:rPr>
      <w:b/>
    </w:rPr>
  </w:style>
  <w:style w:type="character" w:customStyle="1" w:styleId="Underlined">
    <w:name w:val="Underlined"/>
    <w:basedOn w:val="DefaultParagraphFont"/>
    <w:rsid w:val="00EC2F95"/>
    <w:rPr>
      <w:u w:val="single"/>
    </w:rPr>
  </w:style>
  <w:style w:type="paragraph" w:customStyle="1" w:styleId="TableBodyTextRight">
    <w:name w:val="Table Body Text Right"/>
    <w:basedOn w:val="TableBodyText"/>
    <w:rsid w:val="00EC2F95"/>
    <w:pPr>
      <w:widowControl w:val="0"/>
      <w:autoSpaceDE w:val="0"/>
      <w:autoSpaceDN w:val="0"/>
      <w:adjustRightInd w:val="0"/>
      <w:jc w:val="right"/>
    </w:pPr>
    <w:rPr>
      <w:rFonts w:cs="Arial"/>
      <w:szCs w:val="18"/>
    </w:rPr>
  </w:style>
  <w:style w:type="paragraph" w:customStyle="1" w:styleId="CopyrightText">
    <w:name w:val="Copyright Text"/>
    <w:basedOn w:val="BodyText"/>
    <w:rsid w:val="00EC2F95"/>
    <w:rPr>
      <w:sz w:val="18"/>
    </w:rPr>
  </w:style>
  <w:style w:type="paragraph" w:customStyle="1" w:styleId="BodySmallRight">
    <w:name w:val="Body Small Right"/>
    <w:basedOn w:val="BodyTextRight"/>
    <w:rsid w:val="00EC2F95"/>
    <w:rPr>
      <w:sz w:val="18"/>
      <w:szCs w:val="18"/>
    </w:rPr>
  </w:style>
  <w:style w:type="paragraph" w:customStyle="1" w:styleId="MarginEdition">
    <w:name w:val="Margin Edition"/>
    <w:basedOn w:val="MarginNote"/>
    <w:rsid w:val="00EC2F95"/>
    <w:pPr>
      <w:spacing w:before="0" w:after="0"/>
    </w:pPr>
    <w:rPr>
      <w:rFonts w:ascii="Times New Roman" w:hAnsi="Times New Roman"/>
      <w:color w:val="999999"/>
    </w:rPr>
  </w:style>
  <w:style w:type="paragraph" w:customStyle="1" w:styleId="Spacer">
    <w:name w:val="Spacer"/>
    <w:basedOn w:val="Normal"/>
    <w:rsid w:val="00EC2F95"/>
    <w:rPr>
      <w:sz w:val="2"/>
      <w:szCs w:val="2"/>
    </w:rPr>
  </w:style>
  <w:style w:type="character" w:customStyle="1" w:styleId="Small">
    <w:name w:val="Small"/>
    <w:basedOn w:val="DefaultParagraphFont"/>
    <w:rsid w:val="00EC2F95"/>
    <w:rPr>
      <w:sz w:val="16"/>
    </w:rPr>
  </w:style>
  <w:style w:type="paragraph" w:customStyle="1" w:styleId="WideTable">
    <w:name w:val="Wide Table"/>
    <w:basedOn w:val="Normal"/>
    <w:rsid w:val="00EC2F95"/>
    <w:pPr>
      <w:ind w:left="-1418"/>
    </w:pPr>
    <w:rPr>
      <w:sz w:val="2"/>
      <w:szCs w:val="2"/>
    </w:rPr>
  </w:style>
  <w:style w:type="character" w:styleId="PageNumber">
    <w:name w:val="page number"/>
    <w:basedOn w:val="DefaultParagraphFont"/>
    <w:rsid w:val="00EC2F95"/>
  </w:style>
  <w:style w:type="paragraph" w:styleId="Quote">
    <w:name w:val="Quote"/>
    <w:basedOn w:val="Heading1"/>
    <w:link w:val="QuoteChar"/>
    <w:qFormat/>
    <w:rsid w:val="00EC2F95"/>
    <w:rPr>
      <w:b w:val="0"/>
      <w:sz w:val="72"/>
      <w:szCs w:val="72"/>
      <w:lang w:val="en-NZ"/>
    </w:rPr>
  </w:style>
  <w:style w:type="character" w:customStyle="1" w:styleId="QuoteChar">
    <w:name w:val="Quote Char"/>
    <w:basedOn w:val="DefaultParagraphFont"/>
    <w:link w:val="Quote"/>
    <w:rsid w:val="00EC2F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F95"/>
    <w:pPr>
      <w:pageBreakBefore/>
    </w:pPr>
  </w:style>
  <w:style w:type="paragraph" w:customStyle="1" w:styleId="Border">
    <w:name w:val="Border"/>
    <w:basedOn w:val="Normal"/>
    <w:qFormat/>
    <w:rsid w:val="00EC2F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F95"/>
    <w:rPr>
      <w:b/>
      <w:bCs/>
      <w:i/>
      <w:iCs/>
      <w:color w:val="auto"/>
    </w:rPr>
  </w:style>
  <w:style w:type="paragraph" w:styleId="IntenseQuote">
    <w:name w:val="Intense Quote"/>
    <w:basedOn w:val="Normal"/>
    <w:next w:val="Normal"/>
    <w:link w:val="IntenseQuoteChar"/>
    <w:uiPriority w:val="30"/>
    <w:qFormat/>
    <w:rsid w:val="00EC2F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F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F95"/>
    <w:rPr>
      <w:smallCaps/>
      <w:color w:val="auto"/>
      <w:u w:val="single"/>
    </w:rPr>
  </w:style>
  <w:style w:type="character" w:styleId="IntenseReference">
    <w:name w:val="Intense Reference"/>
    <w:basedOn w:val="DefaultParagraphFont"/>
    <w:uiPriority w:val="32"/>
    <w:qFormat/>
    <w:rsid w:val="00EC2F95"/>
    <w:rPr>
      <w:b/>
      <w:bCs/>
      <w:smallCaps/>
      <w:color w:val="auto"/>
      <w:spacing w:val="5"/>
      <w:u w:val="single"/>
    </w:rPr>
  </w:style>
  <w:style w:type="paragraph" w:customStyle="1" w:styleId="2ColumnHeading">
    <w:name w:val="2Column Heading"/>
    <w:basedOn w:val="BodyText"/>
    <w:qFormat/>
    <w:rsid w:val="00EC2F95"/>
    <w:pPr>
      <w:spacing w:after="60"/>
      <w:ind w:left="-2268"/>
    </w:pPr>
    <w:rPr>
      <w:b/>
    </w:rPr>
  </w:style>
  <w:style w:type="paragraph" w:customStyle="1" w:styleId="Heading1TOC">
    <w:name w:val="Heading1 TOC"/>
    <w:basedOn w:val="Normal"/>
    <w:qFormat/>
    <w:rsid w:val="00EC2F95"/>
    <w:pPr>
      <w:spacing w:before="240" w:after="120"/>
    </w:pPr>
    <w:rPr>
      <w:rFonts w:ascii="Times New Roman" w:hAnsi="Times New Roman"/>
      <w:b/>
      <w:sz w:val="32"/>
    </w:rPr>
  </w:style>
  <w:style w:type="paragraph" w:customStyle="1" w:styleId="Heading2TOC">
    <w:name w:val="Heading2 TOC"/>
    <w:basedOn w:val="Normal"/>
    <w:qFormat/>
    <w:rsid w:val="00EC2F95"/>
    <w:pPr>
      <w:spacing w:before="240" w:after="60"/>
    </w:pPr>
    <w:rPr>
      <w:rFonts w:ascii="Times New Roman" w:hAnsi="Times New Roman"/>
      <w:b/>
      <w:sz w:val="28"/>
    </w:rPr>
  </w:style>
  <w:style w:type="character" w:customStyle="1" w:styleId="Underline">
    <w:name w:val="Underline"/>
    <w:basedOn w:val="DefaultParagraphFont"/>
    <w:qFormat/>
    <w:rsid w:val="00EC2F95"/>
    <w:rPr>
      <w:u w:val="single"/>
    </w:rPr>
  </w:style>
  <w:style w:type="character" w:customStyle="1" w:styleId="BoldandItalics">
    <w:name w:val="Bold and Italics"/>
    <w:qFormat/>
    <w:rsid w:val="00EC2F95"/>
    <w:rPr>
      <w:b/>
      <w:i/>
      <w:u w:val="none"/>
    </w:rPr>
  </w:style>
  <w:style w:type="paragraph" w:styleId="BalloonText">
    <w:name w:val="Balloon Text"/>
    <w:basedOn w:val="Normal"/>
    <w:link w:val="BalloonTextChar"/>
    <w:rsid w:val="00EC2F95"/>
    <w:rPr>
      <w:rFonts w:ascii="Tahoma" w:hAnsi="Tahoma" w:cs="Tahoma"/>
      <w:sz w:val="16"/>
      <w:szCs w:val="16"/>
    </w:rPr>
  </w:style>
  <w:style w:type="character" w:customStyle="1" w:styleId="BalloonTextChar">
    <w:name w:val="Balloon Text Char"/>
    <w:basedOn w:val="DefaultParagraphFont"/>
    <w:link w:val="BalloonText"/>
    <w:rsid w:val="00EC2F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F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F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F95"/>
    <w:rPr>
      <w:b/>
      <w:color w:val="660033"/>
      <w:spacing w:val="0"/>
    </w:rPr>
  </w:style>
  <w:style w:type="paragraph" w:customStyle="1" w:styleId="Nameditemlist">
    <w:name w:val="Named item list"/>
    <w:basedOn w:val="BodyText"/>
    <w:qFormat/>
    <w:rsid w:val="00EC2F95"/>
    <w:pPr>
      <w:tabs>
        <w:tab w:val="left" w:pos="2835"/>
      </w:tabs>
      <w:ind w:left="2835" w:hanging="2835"/>
    </w:pPr>
  </w:style>
  <w:style w:type="paragraph" w:customStyle="1" w:styleId="BodyTextnopadding">
    <w:name w:val="Body Text no padding"/>
    <w:basedOn w:val="BodyText"/>
    <w:qFormat/>
    <w:rsid w:val="00EC2F95"/>
    <w:pPr>
      <w:spacing w:before="0" w:after="0"/>
    </w:pPr>
  </w:style>
  <w:style w:type="paragraph" w:customStyle="1" w:styleId="BodyTextBold">
    <w:name w:val="Body Text Bold"/>
    <w:basedOn w:val="BodyText"/>
    <w:qFormat/>
    <w:rsid w:val="00EC2F95"/>
    <w:rPr>
      <w:b/>
    </w:rPr>
  </w:style>
  <w:style w:type="character" w:styleId="Hyperlink">
    <w:name w:val="Hyperlink"/>
    <w:basedOn w:val="DefaultParagraphFont"/>
    <w:uiPriority w:val="99"/>
    <w:unhideWhenUsed/>
    <w:rsid w:val="00527A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1097</Words>
  <Characters>7012</Characters>
  <Application>Microsoft Office Word</Application>
  <DocSecurity>0</DocSecurity>
  <Lines>259</Lines>
  <Paragraphs>135</Paragraphs>
  <ScaleCrop>false</ScaleCrop>
  <Company>Author-it Software Corporation Ltd.</Company>
  <LinksUpToDate>false</LinksUpToDate>
  <CharactersWithSpaces>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UEEEC0054 Provide gate array solutions for complex electronics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