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AAC" w:rsidP="00AA4AAC">
      <w:pPr>
        <w:pStyle w:val="Title"/>
      </w:pPr>
      <w:r>
        <w:fldChar w:fldCharType="begin"/>
      </w:r>
      <w:r>
        <w:instrText xml:space="preserve"> TITLE   \* MERGEFORMAT </w:instrText>
      </w:r>
      <w:r>
        <w:fldChar w:fldCharType="separate"/>
      </w:r>
      <w:r>
        <w:t>UEEEC0049 Program and commission commercial security closed-circuit television systems</w:t>
      </w:r>
      <w:r>
        <w:fldChar w:fldCharType="end"/>
      </w:r>
    </w:p>
    <w:p w:rsidR="00AA4AAC" w:rsidP="00AA4AAC">
      <w:pPr>
        <w:pStyle w:val="Version"/>
        <w:sectPr w:rsidSect="000B7A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A4E" w:rsidP="000B7A4E">
      <w:pPr>
        <w:pStyle w:val="SuperHeading"/>
      </w:pPr>
      <w:r w:rsidRPr="000B7A4E">
        <w:t>UEEEC0049 Program and commission commercial security closed-circuit television systems</w:t>
      </w:r>
    </w:p>
    <w:p w:rsidR="00000000" w:rsidRPr="000B7A4E" w:rsidP="000B7A4E">
      <w:pPr>
        <w:pStyle w:val="Heading1"/>
      </w:pPr>
      <w:bookmarkStart w:id="1" w:name="O_1080521"/>
      <w:bookmarkEnd w:id="1"/>
      <w:r w:rsidRPr="000B7A4E">
        <w:t>Modification History</w:t>
      </w:r>
    </w:p>
    <w:tbl>
      <w:tblPr>
        <w:tblW w:w="9497" w:type="dxa"/>
        <w:tblLayout w:type="fixed"/>
        <w:tblCellMar>
          <w:left w:w="62" w:type="dxa"/>
          <w:right w:w="62" w:type="dxa"/>
        </w:tblCellMar>
        <w:tblLook w:val="0000"/>
      </w:tblPr>
      <w:tblGrid>
        <w:gridCol w:w="9497"/>
      </w:tblGrid>
      <w:tr w:rsidTr="000B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t>Release 1. This is the first release of this unit of competency in the UEE Electrotechnology Training Package.</w:t>
            </w:r>
          </w:p>
        </w:tc>
      </w:tr>
    </w:tbl>
    <w:p w:rsidR="00000000" w:rsidRPr="000B7A4E" w:rsidP="000B7A4E">
      <w:pPr>
        <w:pStyle w:val="NoPaddingFontSize1"/>
      </w:pPr>
    </w:p>
    <w:p w:rsidR="00000000" w:rsidRPr="000B7A4E" w:rsidP="000B7A4E">
      <w:pPr>
        <w:pStyle w:val="AllowPageBreak"/>
      </w:pPr>
    </w:p>
    <w:p w:rsidR="00000000" w:rsidRPr="000B7A4E" w:rsidP="000B7A4E">
      <w:pPr>
        <w:pStyle w:val="Heading1"/>
      </w:pPr>
      <w:bookmarkStart w:id="2" w:name="O_1080522"/>
      <w:bookmarkEnd w:id="2"/>
      <w:r w:rsidRPr="000B7A4E">
        <w:t>Application</w:t>
      </w:r>
    </w:p>
    <w:tbl>
      <w:tblPr>
        <w:tblW w:w="9497" w:type="dxa"/>
        <w:tblLayout w:type="fixed"/>
        <w:tblCellMar>
          <w:left w:w="62" w:type="dxa"/>
          <w:right w:w="62" w:type="dxa"/>
        </w:tblCellMar>
        <w:tblLook w:val="0000"/>
      </w:tblPr>
      <w:tblGrid>
        <w:gridCol w:w="9497"/>
      </w:tblGrid>
      <w:tr w:rsidTr="000B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t>This unit involves the skills and knowledge required to program and commission commercial security closed-circuit television (CCTV) systems.</w:t>
            </w:r>
          </w:p>
          <w:p w:rsidR="00000000" w:rsidRPr="000B7A4E" w:rsidP="000B7A4E">
            <w:pPr>
              <w:pStyle w:val="BodyText"/>
            </w:pPr>
            <w:r w:rsidRPr="000B7A4E">
              <w:t>It includes programming and testing security CCTV systems typically used in commercial buildin</w:t>
            </w:r>
            <w:r w:rsidRPr="000B7A4E">
              <w:t xml:space="preserve">gs and premises It also includes working safely, following commercial security CCTV system specifications, programming security functions and schedules, and providing </w:t>
            </w:r>
            <w:r>
              <w:t>‘</w:t>
            </w:r>
            <w:r w:rsidRPr="000B7A4E">
              <w:t>as-programmed</w:t>
            </w:r>
            <w:r>
              <w:t>’</w:t>
            </w:r>
            <w:r w:rsidRPr="000B7A4E">
              <w:t xml:space="preserve"> documentation.</w:t>
            </w:r>
          </w:p>
          <w:p w:rsidR="00000000" w:rsidRPr="000B7A4E" w:rsidP="000B7A4E">
            <w:pPr>
              <w:pStyle w:val="BodyText"/>
            </w:pPr>
            <w:r w:rsidRPr="000B7A4E">
              <w:t xml:space="preserve">The skills and knowledge described in this unit require a </w:t>
            </w:r>
            <w:r w:rsidRPr="000B7A4E">
              <w:t xml:space="preserve">licence or permit to practice in the workplace where work is carried out on electrical installations which are designed to operate at voltages greater than 50 volt (V) alternating current (a.c.) or 120 V direct current (d.c.). </w:t>
            </w:r>
          </w:p>
          <w:p w:rsidR="00000000" w:rsidRPr="000B7A4E" w:rsidP="000B7A4E">
            <w:pPr>
              <w:pStyle w:val="BodyText"/>
            </w:pPr>
            <w:r w:rsidRPr="000B7A4E">
              <w:t>Competency development activ</w:t>
            </w:r>
            <w:r w:rsidRPr="000B7A4E">
              <w:t xml:space="preserve">ities in this unit are subject to regulations directly related to licensing. Where a licence or permit to practice is not held, skills and knowledge described in this unit require a relevant contract of training, such as an Australian Apprenticeship. </w:t>
            </w:r>
          </w:p>
          <w:p w:rsidR="00000000" w:rsidRPr="000B7A4E" w:rsidP="000B7A4E">
            <w:pPr>
              <w:pStyle w:val="BodyText"/>
            </w:pPr>
            <w:r w:rsidRPr="000B7A4E">
              <w:t>Addi</w:t>
            </w:r>
            <w:r w:rsidRPr="000B7A4E">
              <w:t>tional and/or other conditions may apply in some jurisdictions subject to regulations related to electrical work. Practice in the workplace and during training is also subject to work health and safety (WHS)/occupational health and safety (OHS) regulations</w:t>
            </w:r>
            <w:r w:rsidRPr="000B7A4E">
              <w:t>.</w:t>
            </w:r>
          </w:p>
          <w:p w:rsidR="00000000" w:rsidRPr="000B7A4E" w:rsidP="000B7A4E">
            <w:pPr>
              <w:pStyle w:val="BodyText"/>
            </w:pPr>
            <w:r w:rsidRPr="000B7A4E">
              <w:t>Permits may also be required for some work environments, such as confined spaces, working aloft, near live electrical apparatus and site rehabilitation.</w:t>
            </w:r>
          </w:p>
        </w:tc>
      </w:tr>
    </w:tbl>
    <w:p w:rsidR="00000000" w:rsidRPr="000B7A4E" w:rsidP="000B7A4E">
      <w:pPr>
        <w:pStyle w:val="NoPaddingFontSize1"/>
      </w:pPr>
    </w:p>
    <w:p w:rsidR="00000000" w:rsidRPr="000B7A4E" w:rsidP="000B7A4E">
      <w:pPr>
        <w:pStyle w:val="AllowPageBreak"/>
      </w:pPr>
    </w:p>
    <w:p w:rsidR="00000000" w:rsidRPr="000B7A4E" w:rsidP="000B7A4E">
      <w:pPr>
        <w:pStyle w:val="Heading1"/>
      </w:pPr>
      <w:bookmarkStart w:id="3" w:name="O_1080523"/>
      <w:bookmarkEnd w:id="3"/>
      <w:r w:rsidRPr="000B7A4E">
        <w:t>Pre-requisite Unit</w:t>
      </w:r>
    </w:p>
    <w:tbl>
      <w:tblPr>
        <w:tblW w:w="9497" w:type="dxa"/>
        <w:tblLayout w:type="fixed"/>
        <w:tblCellMar>
          <w:left w:w="62" w:type="dxa"/>
          <w:right w:w="62" w:type="dxa"/>
        </w:tblCellMar>
        <w:tblLook w:val="0000"/>
      </w:tblPr>
      <w:tblGrid>
        <w:gridCol w:w="9497"/>
      </w:tblGrid>
      <w:tr w:rsidTr="000B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t>UEECD0007 Apply work health and safety regulations, codes and</w:t>
            </w:r>
            <w:r w:rsidRPr="000B7A4E">
              <w:t xml:space="preserve"> practices in the workplace</w:t>
            </w:r>
          </w:p>
          <w:p w:rsidR="00000000" w:rsidRPr="000B7A4E" w:rsidP="000B7A4E">
            <w:pPr>
              <w:pStyle w:val="BodyText"/>
            </w:pPr>
            <w:r w:rsidRPr="000B7A4E">
              <w:t>UEECD0019 Fabricate, assemble and dismantle utilities industry components</w:t>
            </w:r>
          </w:p>
          <w:p w:rsidR="00000000" w:rsidRPr="000B7A4E" w:rsidP="000B7A4E">
            <w:pPr>
              <w:pStyle w:val="BodyText"/>
            </w:pPr>
            <w:r w:rsidRPr="000B7A4E">
              <w:t>UEECD0020 Fix and secure electrotechnology equipment</w:t>
            </w:r>
          </w:p>
          <w:p w:rsidR="00000000" w:rsidRPr="000B7A4E" w:rsidP="000B7A4E">
            <w:pPr>
              <w:pStyle w:val="BodyText"/>
            </w:pPr>
            <w:r w:rsidRPr="000B7A4E">
              <w:t>UEECD0051 Use drawings, diagrams, schedules, standards, codes and specifications</w:t>
            </w:r>
          </w:p>
          <w:p w:rsidR="00000000" w:rsidRPr="000B7A4E" w:rsidP="000B7A4E">
            <w:pPr>
              <w:pStyle w:val="BodyText"/>
            </w:pPr>
            <w:r w:rsidRPr="000B7A4E">
              <w:t>UEEEC0003 Assemble a</w:t>
            </w:r>
            <w:r w:rsidRPr="000B7A4E">
              <w:t>nd set up basic security systems</w:t>
            </w:r>
          </w:p>
          <w:p w:rsidR="00000000" w:rsidRPr="000B7A4E" w:rsidP="000B7A4E">
            <w:pPr>
              <w:pStyle w:val="BodyText"/>
            </w:pPr>
            <w:r w:rsidRPr="000B7A4E">
              <w:t>UEEEC0027 Enter instructions and test wired and wireless security systems</w:t>
            </w:r>
          </w:p>
        </w:tc>
      </w:tr>
    </w:tbl>
    <w:p w:rsidR="00000000" w:rsidRPr="000B7A4E" w:rsidP="000B7A4E">
      <w:pPr>
        <w:pStyle w:val="NoPaddingFontSize1"/>
      </w:pPr>
    </w:p>
    <w:p w:rsidR="00000000" w:rsidRPr="000B7A4E" w:rsidP="000B7A4E">
      <w:pPr>
        <w:pStyle w:val="AllowPageBreak"/>
      </w:pPr>
    </w:p>
    <w:p w:rsidR="00000000" w:rsidRPr="000B7A4E" w:rsidP="000B7A4E">
      <w:pPr>
        <w:pStyle w:val="Heading1"/>
      </w:pPr>
      <w:bookmarkStart w:id="4" w:name="O_1080524"/>
      <w:bookmarkEnd w:id="4"/>
      <w:r w:rsidRPr="000B7A4E">
        <w:t>Competency Field</w:t>
      </w:r>
    </w:p>
    <w:tbl>
      <w:tblPr>
        <w:tblW w:w="9497" w:type="dxa"/>
        <w:tblLayout w:type="fixed"/>
        <w:tblCellMar>
          <w:left w:w="62" w:type="dxa"/>
          <w:right w:w="62" w:type="dxa"/>
        </w:tblCellMar>
        <w:tblLook w:val="0000"/>
      </w:tblPr>
      <w:tblGrid>
        <w:gridCol w:w="9497"/>
      </w:tblGrid>
      <w:tr w:rsidTr="000B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t>Electronics and Communications</w:t>
            </w:r>
          </w:p>
        </w:tc>
      </w:tr>
    </w:tbl>
    <w:p w:rsidR="00000000" w:rsidRPr="000B7A4E" w:rsidP="000B7A4E">
      <w:pPr>
        <w:pStyle w:val="NoPaddingFontSize1"/>
      </w:pPr>
    </w:p>
    <w:p w:rsidR="00000000" w:rsidRPr="000B7A4E" w:rsidP="000B7A4E">
      <w:pPr>
        <w:pStyle w:val="AllowPageBreak"/>
      </w:pPr>
    </w:p>
    <w:p w:rsidR="00000000" w:rsidRPr="000B7A4E" w:rsidP="000B7A4E">
      <w:pPr>
        <w:pStyle w:val="Heading1"/>
      </w:pPr>
      <w:bookmarkStart w:id="5" w:name="O_1080525"/>
      <w:bookmarkEnd w:id="5"/>
      <w:r w:rsidRPr="000B7A4E">
        <w:t>Unit Sector</w:t>
      </w:r>
    </w:p>
    <w:tbl>
      <w:tblPr>
        <w:tblW w:w="9497" w:type="dxa"/>
        <w:tblLayout w:type="fixed"/>
        <w:tblCellMar>
          <w:left w:w="62" w:type="dxa"/>
          <w:right w:w="62" w:type="dxa"/>
        </w:tblCellMar>
        <w:tblLook w:val="0000"/>
      </w:tblPr>
      <w:tblGrid>
        <w:gridCol w:w="9497"/>
      </w:tblGrid>
      <w:tr w:rsidTr="000B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t>Electrotechnology</w:t>
            </w:r>
          </w:p>
        </w:tc>
      </w:tr>
    </w:tbl>
    <w:p w:rsidR="00000000" w:rsidRPr="000B7A4E" w:rsidP="000B7A4E">
      <w:pPr>
        <w:pStyle w:val="NoPaddingFontSize1"/>
      </w:pPr>
    </w:p>
    <w:p w:rsidR="00000000" w:rsidRPr="000B7A4E" w:rsidP="000B7A4E">
      <w:pPr>
        <w:pStyle w:val="AllowPageBreak"/>
      </w:pPr>
    </w:p>
    <w:p w:rsidR="00000000" w:rsidRPr="000B7A4E" w:rsidP="000B7A4E">
      <w:pPr>
        <w:pStyle w:val="Heading1"/>
      </w:pPr>
      <w:bookmarkStart w:id="6" w:name="O_1080526"/>
      <w:bookmarkEnd w:id="6"/>
      <w:r w:rsidRPr="000B7A4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B7A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PERFORMANCE CRITERIA</w:t>
            </w:r>
          </w:p>
        </w:tc>
      </w:tr>
      <w:tr w:rsidTr="000B7A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Performance criteria describe the performance needed to demonstrate achievement of the element.</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rPr>
                <w:rStyle w:val="SpecialBold"/>
              </w:rPr>
              <w:t>Prepare to program commercial security CCTV system</w:t>
            </w: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WHS/OHS requirements and workplace procedures for a given work area are identified and applied</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WHS/OHS risk control measures and workplace procedures are followed in preparation for commercial s</w:t>
            </w:r>
            <w:r w:rsidRPr="000B7A4E">
              <w:t>ecurity CCTV system work</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Safety hazards not previously identified are risk assessed, documented and risk control measures devised and implemented in consultation with appropriate person/s</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Extent of programming and commissioning is determined from reports, documentation and from discussions with appropriate person/s</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 xml:space="preserve">Appropriate person/s is consulted to ensure commercial security CCTV system work is coordinated effectively with others </w:t>
            </w:r>
            <w:r w:rsidRPr="000B7A4E">
              <w:t>involved on the worksite</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Tools, equipment and testing devices needed to program commercial security CCTV system are obtained in accordance with workplace procedures and checked for correct operation and safety</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rPr>
                <w:rStyle w:val="SpecialBold"/>
              </w:rPr>
              <w:t>Program and commission commercial se</w:t>
            </w:r>
            <w:r w:rsidRPr="000B7A4E">
              <w:rPr>
                <w:rStyle w:val="SpecialBold"/>
              </w:rPr>
              <w:t>curity CCTV system</w:t>
            </w: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WHS/OHS risk control measures and workplace procedures for carrying out commercial security CCTV system work are followed</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 xml:space="preserve">Need to test and measure live work is determined in accordance with WHS/OHS requirements and, as </w:t>
            </w:r>
            <w:r w:rsidRPr="000B7A4E">
              <w:t>required, conducted within workplace safety procedures</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Circuits/machines/plant are checked and isolated in accordance with WHS/OHS requirements and work</w:t>
            </w:r>
            <w:r w:rsidRPr="000B7A4E">
              <w:t>place procedures</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Security CCTV functions are entered into the commercial security system in accordance with design specifications</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Security CCTV devices are checked for correct location and alignment</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Security CCTVs are inspected and tested in accordance with commissioning requirements</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Sources of CCTV anomalies are identified and corrected</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Unplanned situations are responded to in accordance with workplace procedures, discussions with appro</w:t>
            </w:r>
            <w:r w:rsidRPr="000B7A4E">
              <w:t>priate person/s and job specifications and requirements in a manner that minimises risk to personnel and equipment</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Methods for dealing with unplanned situations are selected on the basis of safety and specified work outcomes</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Programming and commissioning activities are carried out efficiently without waste of materials or damage to apparatus, the surrounding environment or services using sustainable energy practices</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rPr>
                <w:rStyle w:val="SpecialBold"/>
              </w:rPr>
              <w:t>Complete and report programming and commissioning activiti</w:t>
            </w:r>
            <w:r w:rsidRPr="000B7A4E">
              <w:rPr>
                <w:rStyle w:val="SpecialBold"/>
              </w:rPr>
              <w:t>es</w:t>
            </w: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WHS/OHS work completion risk control measures and workplace procedures are followed</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Worksite is made safe in accordance with workplace safety procedures</w:t>
            </w:r>
          </w:p>
        </w:tc>
      </w:tr>
      <w:tr w:rsidTr="000B7A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7A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B7A4E" w:rsidP="000B7A4E">
            <w:pPr>
              <w:pStyle w:val="BodyText"/>
            </w:pPr>
            <w:r>
              <w:t>‘</w:t>
            </w:r>
            <w:r w:rsidRPr="000B7A4E">
              <w:t>As-installed</w:t>
            </w:r>
            <w:r>
              <w:t>’</w:t>
            </w:r>
            <w:r w:rsidRPr="000B7A4E">
              <w:t xml:space="preserve"> security CCTV system is documented and appropriate person/s notifie</w:t>
            </w:r>
            <w:r w:rsidRPr="000B7A4E">
              <w:t>d in accordance with workplace procedures</w:t>
            </w:r>
          </w:p>
        </w:tc>
      </w:tr>
    </w:tbl>
    <w:p w:rsidR="00000000" w:rsidRPr="000B7A4E" w:rsidP="000B7A4E">
      <w:pPr>
        <w:pStyle w:val="NoPaddingFontSize1"/>
      </w:pPr>
    </w:p>
    <w:p w:rsidR="00000000" w:rsidRPr="000B7A4E" w:rsidP="000B7A4E">
      <w:pPr>
        <w:pStyle w:val="AllowPageBreak"/>
      </w:pPr>
    </w:p>
    <w:p w:rsidR="00000000" w:rsidRPr="000B7A4E" w:rsidP="000B7A4E">
      <w:pPr>
        <w:pStyle w:val="Heading1"/>
      </w:pPr>
      <w:bookmarkStart w:id="7" w:name="O_1080527"/>
      <w:bookmarkEnd w:id="7"/>
      <w:r w:rsidRPr="000B7A4E">
        <w:t>Foundation Skills</w:t>
      </w:r>
    </w:p>
    <w:tbl>
      <w:tblPr>
        <w:tblW w:w="9497" w:type="dxa"/>
        <w:tblLayout w:type="fixed"/>
        <w:tblCellMar>
          <w:left w:w="62" w:type="dxa"/>
          <w:right w:w="62" w:type="dxa"/>
        </w:tblCellMar>
        <w:tblLook w:val="0000"/>
      </w:tblPr>
      <w:tblGrid>
        <w:gridCol w:w="9497"/>
      </w:tblGrid>
      <w:tr w:rsidTr="000B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t>Foundation skills essential to performance are explicit in the performance criteria of this unit of competency.</w:t>
            </w:r>
          </w:p>
        </w:tc>
      </w:tr>
    </w:tbl>
    <w:p w:rsidR="00000000" w:rsidRPr="000B7A4E" w:rsidP="000B7A4E">
      <w:pPr>
        <w:pStyle w:val="NoPaddingFontSize1"/>
      </w:pPr>
    </w:p>
    <w:p w:rsidR="00000000" w:rsidRPr="000B7A4E" w:rsidP="000B7A4E">
      <w:pPr>
        <w:pStyle w:val="AllowPageBreak"/>
      </w:pPr>
    </w:p>
    <w:p w:rsidR="00000000" w:rsidRPr="000B7A4E" w:rsidP="000B7A4E">
      <w:pPr>
        <w:pStyle w:val="Heading1"/>
      </w:pPr>
      <w:bookmarkStart w:id="8" w:name="O_1080528"/>
      <w:bookmarkEnd w:id="8"/>
      <w:r w:rsidRPr="000B7A4E">
        <w:t>Range of Conditions</w:t>
      </w:r>
    </w:p>
    <w:tbl>
      <w:tblPr>
        <w:tblW w:w="9497" w:type="dxa"/>
        <w:tblLayout w:type="fixed"/>
        <w:tblCellMar>
          <w:left w:w="62" w:type="dxa"/>
          <w:right w:w="62" w:type="dxa"/>
        </w:tblCellMar>
        <w:tblLook w:val="0000"/>
      </w:tblPr>
      <w:tblGrid>
        <w:gridCol w:w="4693"/>
        <w:gridCol w:w="4804"/>
      </w:tblGrid>
      <w:tr w:rsidTr="000B7A4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t>Range is restricted to essential operating conditions and any other variables essential to the work environment.</w:t>
            </w:r>
          </w:p>
          <w:p w:rsidR="00000000" w:rsidP="000B7A4E">
            <w:pPr>
              <w:pStyle w:val="BodyText"/>
              <w:rPr>
                <w:lang w:val="en-NZ"/>
              </w:rPr>
            </w:pPr>
            <w:r w:rsidRPr="000B7A4E">
              <w:t>Non-essential conditions may be found in the UEE Electrotechnology Training Package Companion Volume Implementation Guide.</w:t>
            </w:r>
          </w:p>
        </w:tc>
      </w:tr>
      <w:tr w:rsidTr="000B7A4E">
        <w:tblPrEx>
          <w:tblW w:w="9497" w:type="dxa"/>
          <w:tblLayout w:type="fixed"/>
          <w:tblCellMar>
            <w:left w:w="62" w:type="dxa"/>
            <w:right w:w="62" w:type="dxa"/>
          </w:tblCellMar>
          <w:tblLook w:val="0000"/>
        </w:tblPrEx>
        <w:trPr>
          <w:trHeight w:val="711"/>
        </w:trPr>
        <w:tc>
          <w:tcPr>
            <w:tcW w:w="4693" w:type="dxa"/>
            <w:tcBorders>
              <w:top w:val="nil"/>
              <w:left w:val="nil"/>
              <w:bottom w:val="nil"/>
              <w:right w:val="nil"/>
            </w:tcBorders>
            <w:tcMar>
              <w:top w:w="0" w:type="dxa"/>
              <w:left w:w="62" w:type="dxa"/>
              <w:bottom w:w="0" w:type="dxa"/>
              <w:right w:w="62" w:type="dxa"/>
            </w:tcMar>
          </w:tcPr>
          <w:p w:rsidR="00000000" w:rsidP="000B7A4E">
            <w:pPr>
              <w:pStyle w:val="BodyText"/>
              <w:rPr>
                <w:lang w:val="en-NZ"/>
              </w:rPr>
            </w:pPr>
            <w:r w:rsidRPr="000B7A4E">
              <w:t>Programming and co</w:t>
            </w:r>
            <w:r w:rsidRPr="000B7A4E">
              <w:t>mmissioning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0B7A4E" w:rsidP="000B7A4E">
            <w:pPr>
              <w:pStyle w:val="ListBullet"/>
            </w:pPr>
            <w:r w:rsidRPr="000B7A4E">
              <w:t>two different commercial security CCTV systems</w:t>
            </w:r>
          </w:p>
        </w:tc>
      </w:tr>
    </w:tbl>
    <w:p w:rsidR="00000000" w:rsidRPr="000B7A4E" w:rsidP="000B7A4E">
      <w:pPr>
        <w:pStyle w:val="NoPaddingFontSize1"/>
      </w:pPr>
    </w:p>
    <w:p w:rsidR="00000000" w:rsidRPr="000B7A4E" w:rsidP="000B7A4E">
      <w:pPr>
        <w:pStyle w:val="AllowPageBreak"/>
      </w:pPr>
    </w:p>
    <w:p w:rsidR="00000000" w:rsidRPr="000B7A4E" w:rsidP="000B7A4E">
      <w:pPr>
        <w:pStyle w:val="Heading1"/>
      </w:pPr>
      <w:bookmarkStart w:id="9" w:name="O_1080529"/>
      <w:bookmarkEnd w:id="9"/>
      <w:r w:rsidRPr="000B7A4E">
        <w:t>Unit Mapping Information</w:t>
      </w:r>
    </w:p>
    <w:tbl>
      <w:tblPr>
        <w:tblW w:w="9497" w:type="dxa"/>
        <w:tblLayout w:type="fixed"/>
        <w:tblCellMar>
          <w:left w:w="62" w:type="dxa"/>
          <w:right w:w="62" w:type="dxa"/>
        </w:tblCellMar>
        <w:tblLook w:val="0000"/>
      </w:tblPr>
      <w:tblGrid>
        <w:gridCol w:w="9497"/>
      </w:tblGrid>
      <w:tr w:rsidTr="000B7A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A4E" w:rsidP="000B7A4E">
            <w:pPr>
              <w:pStyle w:val="BodyText"/>
            </w:pPr>
            <w:r w:rsidRPr="000B7A4E">
              <w:t>This unit replaces and is equivalent to UEENEEH156A Program and commission commercial security closed-circuit television systems.</w:t>
            </w:r>
          </w:p>
        </w:tc>
      </w:tr>
    </w:tbl>
    <w:p w:rsidR="00000000" w:rsidRPr="000B7A4E" w:rsidP="000B7A4E">
      <w:pPr>
        <w:pStyle w:val="NoPaddingFontSize1"/>
      </w:pPr>
    </w:p>
    <w:p w:rsidR="00000000" w:rsidRPr="000B7A4E" w:rsidP="000B7A4E">
      <w:pPr>
        <w:pStyle w:val="AllowPageBreak"/>
      </w:pPr>
    </w:p>
    <w:p w:rsidR="00000000" w:rsidRPr="000B7A4E" w:rsidP="000B7A4E">
      <w:pPr>
        <w:pStyle w:val="Heading1"/>
      </w:pPr>
      <w:bookmarkStart w:id="10" w:name="O_1080536"/>
      <w:bookmarkEnd w:id="10"/>
      <w:r w:rsidRPr="000B7A4E">
        <w:t>Links</w:t>
      </w:r>
    </w:p>
    <w:p w:rsidR="00000000" w:rsidRPr="000B7A4E" w:rsidP="00AA4AAC">
      <w:pPr>
        <w:pStyle w:val="BodyText"/>
      </w:pPr>
      <w:r w:rsidRPr="000B7A4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10BF3">
        <w:rPr>
          <w:rStyle w:val="Hyperlink"/>
        </w:rPr>
        <w:t>https://vetnet.gov.au/Pages/TrainingDocs.aspx?q=b8a8f136-5421-4ce1-92e0-2b50341431b6</w:t>
      </w:r>
      <w:r>
        <w:fldChar w:fldCharType="end"/>
      </w:r>
    </w:p>
    <w:p w:rsidR="00000000" w:rsidRPr="000B7A4E" w:rsidP="000B7A4E"/>
    <w:sectPr w:rsidSect="000B7A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4E" w:rsidRPr="00AA4AAC" w:rsidP="00AA4A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AAC" w:rsidP="000B7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AAC" w:rsidP="000B7A4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A4AAC" w:rsidP="000B7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A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A4E" w:rsidRPr="00AA4AAC" w:rsidP="00AA4A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AAC" w:rsidRPr="002D2AF8" w:rsidP="000B7A4E">
    <w:pPr>
      <w:pStyle w:val="Header"/>
      <w:framePr w:wrap="around"/>
    </w:pPr>
    <w:r>
      <w:fldChar w:fldCharType="begin"/>
    </w:r>
    <w:r>
      <w:instrText xml:space="preserve"> TITLE   \* MERGEFORMAT </w:instrText>
    </w:r>
    <w:r>
      <w:fldChar w:fldCharType="separate"/>
    </w:r>
    <w:r>
      <w:t>UEEEC0049 Program and commission commercial security closed-circuit television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A4AAC" w:rsidP="000B7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6A7C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1E6E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A4E"/>
    <w:pPr>
      <w:spacing w:before="360" w:after="60"/>
      <w:outlineLvl w:val="0"/>
    </w:pPr>
    <w:rPr>
      <w:sz w:val="32"/>
    </w:rPr>
  </w:style>
  <w:style w:type="paragraph" w:styleId="Heading2">
    <w:name w:val="heading 2"/>
    <w:basedOn w:val="HeadingBase"/>
    <w:next w:val="BodyText"/>
    <w:link w:val="Heading2Char"/>
    <w:qFormat/>
    <w:rsid w:val="000B7A4E"/>
    <w:pPr>
      <w:keepLines/>
      <w:spacing w:before="240" w:after="120"/>
      <w:outlineLvl w:val="1"/>
    </w:pPr>
    <w:rPr>
      <w:sz w:val="28"/>
      <w:szCs w:val="40"/>
    </w:rPr>
  </w:style>
  <w:style w:type="paragraph" w:styleId="Heading3">
    <w:name w:val="heading 3"/>
    <w:basedOn w:val="HeadingBase"/>
    <w:next w:val="BodyText"/>
    <w:link w:val="Heading3Char"/>
    <w:qFormat/>
    <w:rsid w:val="000B7A4E"/>
    <w:pPr>
      <w:spacing w:before="180" w:after="120"/>
      <w:outlineLvl w:val="2"/>
    </w:pPr>
    <w:rPr>
      <w:spacing w:val="-10"/>
      <w:kern w:val="32"/>
    </w:rPr>
  </w:style>
  <w:style w:type="paragraph" w:styleId="Heading4">
    <w:name w:val="heading 4"/>
    <w:basedOn w:val="HeadingBase"/>
    <w:next w:val="BodyText"/>
    <w:link w:val="Heading4Char"/>
    <w:qFormat/>
    <w:rsid w:val="000B7A4E"/>
    <w:pPr>
      <w:spacing w:before="160" w:after="120"/>
      <w:outlineLvl w:val="3"/>
    </w:pPr>
    <w:rPr>
      <w:sz w:val="22"/>
    </w:rPr>
  </w:style>
  <w:style w:type="paragraph" w:styleId="Heading5">
    <w:name w:val="heading 5"/>
    <w:basedOn w:val="HeadingBase"/>
    <w:next w:val="Normal"/>
    <w:link w:val="Heading5Char"/>
    <w:qFormat/>
    <w:rsid w:val="000B7A4E"/>
    <w:pPr>
      <w:spacing w:before="80"/>
      <w:outlineLvl w:val="4"/>
    </w:pPr>
    <w:rPr>
      <w:color w:val="918585"/>
      <w:sz w:val="20"/>
    </w:rPr>
  </w:style>
  <w:style w:type="paragraph" w:styleId="Heading6">
    <w:name w:val="heading 6"/>
    <w:basedOn w:val="HeadingBase"/>
    <w:next w:val="Normal"/>
    <w:link w:val="Heading6Char"/>
    <w:qFormat/>
    <w:rsid w:val="000B7A4E"/>
    <w:pPr>
      <w:spacing w:before="60"/>
      <w:outlineLvl w:val="5"/>
    </w:pPr>
    <w:rPr>
      <w:color w:val="918585"/>
      <w:sz w:val="20"/>
    </w:rPr>
  </w:style>
  <w:style w:type="paragraph" w:styleId="Heading7">
    <w:name w:val="heading 7"/>
    <w:basedOn w:val="Normal"/>
    <w:next w:val="Normal"/>
    <w:link w:val="Heading7Char"/>
    <w:qFormat/>
    <w:rsid w:val="000B7A4E"/>
    <w:pPr>
      <w:ind w:left="720"/>
      <w:outlineLvl w:val="6"/>
    </w:pPr>
    <w:rPr>
      <w:i/>
    </w:rPr>
  </w:style>
  <w:style w:type="paragraph" w:styleId="Heading8">
    <w:name w:val="heading 8"/>
    <w:basedOn w:val="Normal"/>
    <w:next w:val="Normal"/>
    <w:link w:val="Heading8Char"/>
    <w:qFormat/>
    <w:rsid w:val="000B7A4E"/>
    <w:pPr>
      <w:ind w:left="720"/>
      <w:outlineLvl w:val="7"/>
    </w:pPr>
    <w:rPr>
      <w:i/>
    </w:rPr>
  </w:style>
  <w:style w:type="paragraph" w:styleId="Heading9">
    <w:name w:val="heading 9"/>
    <w:basedOn w:val="Normal"/>
    <w:next w:val="Normal"/>
    <w:link w:val="Heading9Char"/>
    <w:qFormat/>
    <w:rsid w:val="000B7A4E"/>
    <w:pPr>
      <w:ind w:left="720"/>
      <w:outlineLvl w:val="8"/>
    </w:pPr>
    <w:rPr>
      <w:i/>
    </w:rPr>
  </w:style>
  <w:style w:type="character" w:default="1" w:styleId="DefaultParagraphFont">
    <w:name w:val="Default Paragraph Font"/>
    <w:uiPriority w:val="1"/>
    <w:unhideWhenUsed/>
    <w:rsid w:val="000B7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A4E"/>
  </w:style>
  <w:style w:type="character" w:customStyle="1" w:styleId="Heading1Char">
    <w:name w:val="Heading 1 Char"/>
    <w:basedOn w:val="DefaultParagraphFont"/>
    <w:link w:val="Heading1"/>
    <w:rsid w:val="000B7A4E"/>
    <w:rPr>
      <w:rFonts w:ascii="Times New Roman" w:eastAsia="Times New Roman" w:hAnsi="Times New Roman" w:cs="Times New Roman"/>
      <w:b/>
      <w:sz w:val="32"/>
      <w:szCs w:val="20"/>
      <w:lang w:eastAsia="en-US"/>
    </w:rPr>
  </w:style>
  <w:style w:type="paragraph" w:styleId="BodyText">
    <w:name w:val="Body Text"/>
    <w:basedOn w:val="Normal"/>
    <w:link w:val="BodyTextChar"/>
    <w:rsid w:val="000B7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A4E"/>
    <w:rPr>
      <w:rFonts w:ascii="Times New Roman" w:eastAsia="Times New Roman" w:hAnsi="Times New Roman" w:cs="Times New Roman"/>
      <w:sz w:val="24"/>
      <w:lang w:eastAsia="en-US"/>
    </w:rPr>
  </w:style>
  <w:style w:type="paragraph" w:styleId="ListBullet">
    <w:name w:val="List Bullet"/>
    <w:basedOn w:val="List"/>
    <w:rsid w:val="000B7A4E"/>
    <w:pPr>
      <w:numPr>
        <w:numId w:val="11"/>
      </w:numPr>
      <w:tabs>
        <w:tab w:val="clear" w:pos="340"/>
      </w:tabs>
      <w:spacing w:before="40" w:after="40"/>
    </w:pPr>
  </w:style>
  <w:style w:type="character" w:customStyle="1" w:styleId="SpecialBold">
    <w:name w:val="Special Bold"/>
    <w:basedOn w:val="DefaultParagraphFont"/>
    <w:rsid w:val="000B7A4E"/>
    <w:rPr>
      <w:b/>
      <w:spacing w:val="0"/>
    </w:rPr>
  </w:style>
  <w:style w:type="paragraph" w:customStyle="1" w:styleId="SuperHeading">
    <w:name w:val="SuperHeading"/>
    <w:basedOn w:val="Normal"/>
    <w:rsid w:val="000B7A4E"/>
    <w:pPr>
      <w:spacing w:before="240" w:after="120"/>
      <w:outlineLvl w:val="0"/>
    </w:pPr>
    <w:rPr>
      <w:rFonts w:ascii="Times New Roman" w:hAnsi="Times New Roman"/>
      <w:b/>
      <w:sz w:val="32"/>
    </w:rPr>
  </w:style>
  <w:style w:type="paragraph" w:customStyle="1" w:styleId="AllowPageBreak">
    <w:name w:val="AllowPageBreak"/>
    <w:rsid w:val="000B7A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7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A4E"/>
    <w:rPr>
      <w:rFonts w:ascii="Courier New" w:eastAsia="Times New Roman" w:hAnsi="Courier New" w:cs="Times New Roman"/>
      <w:i/>
      <w:szCs w:val="20"/>
      <w:lang w:eastAsia="en-US"/>
    </w:rPr>
  </w:style>
  <w:style w:type="paragraph" w:customStyle="1" w:styleId="HeadingBase">
    <w:name w:val="Heading Base"/>
    <w:rsid w:val="000B7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A4E"/>
    <w:pPr>
      <w:tabs>
        <w:tab w:val="right" w:leader="dot" w:pos="9072"/>
      </w:tabs>
      <w:ind w:left="567"/>
    </w:pPr>
    <w:rPr>
      <w:szCs w:val="22"/>
    </w:rPr>
  </w:style>
  <w:style w:type="paragraph" w:customStyle="1" w:styleId="TOCBase">
    <w:name w:val="TOC Base"/>
    <w:rsid w:val="000B7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A4E"/>
    <w:pPr>
      <w:tabs>
        <w:tab w:val="right" w:leader="dot" w:pos="9072"/>
      </w:tabs>
      <w:spacing w:before="40" w:after="40"/>
      <w:ind w:left="284"/>
    </w:pPr>
    <w:rPr>
      <w:rFonts w:ascii="Times New Roman" w:hAnsi="Times New Roman"/>
    </w:rPr>
  </w:style>
  <w:style w:type="paragraph" w:styleId="TOC1">
    <w:name w:val="toc 1"/>
    <w:basedOn w:val="TOCBase"/>
    <w:next w:val="Normal"/>
    <w:rsid w:val="000B7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A4E"/>
    <w:rPr>
      <w:rFonts w:ascii="Times New Roman" w:eastAsia="Times New Roman" w:hAnsi="Times New Roman" w:cs="Times New Roman"/>
      <w:sz w:val="16"/>
      <w:lang w:eastAsia="en-US"/>
    </w:rPr>
  </w:style>
  <w:style w:type="paragraph" w:styleId="Title">
    <w:name w:val="Title"/>
    <w:basedOn w:val="HeadingBase"/>
    <w:link w:val="TitleChar"/>
    <w:qFormat/>
    <w:rsid w:val="000B7A4E"/>
    <w:pPr>
      <w:spacing w:before="5040"/>
      <w:jc w:val="center"/>
    </w:pPr>
    <w:rPr>
      <w:sz w:val="48"/>
      <w:szCs w:val="72"/>
      <w:lang w:val="en-US"/>
    </w:rPr>
  </w:style>
  <w:style w:type="character" w:customStyle="1" w:styleId="TitleChar">
    <w:name w:val="Title Char"/>
    <w:basedOn w:val="DefaultParagraphFont"/>
    <w:link w:val="Title"/>
    <w:rsid w:val="000B7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A4E"/>
    <w:pPr>
      <w:tabs>
        <w:tab w:val="left" w:pos="3600"/>
        <w:tab w:val="left" w:pos="3958"/>
      </w:tabs>
    </w:pPr>
  </w:style>
  <w:style w:type="paragraph" w:styleId="List">
    <w:name w:val="List"/>
    <w:basedOn w:val="BodyText"/>
    <w:next w:val="BodyText"/>
    <w:rsid w:val="000B7A4E"/>
    <w:pPr>
      <w:tabs>
        <w:tab w:val="left" w:pos="340"/>
      </w:tabs>
      <w:spacing w:before="60" w:after="60"/>
      <w:ind w:left="340" w:hanging="340"/>
    </w:pPr>
  </w:style>
  <w:style w:type="paragraph" w:customStyle="1" w:styleId="Note">
    <w:name w:val="Note"/>
    <w:basedOn w:val="BodyText"/>
    <w:rsid w:val="000B7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A4E"/>
    <w:pPr>
      <w:framePr w:wrap="auto" w:hAnchor="text" w:y="6049"/>
    </w:pPr>
    <w:rPr>
      <w:color w:val="000000"/>
      <w:sz w:val="40"/>
    </w:rPr>
  </w:style>
  <w:style w:type="paragraph" w:customStyle="1" w:styleId="TOCTitle">
    <w:name w:val="TOCTitle"/>
    <w:basedOn w:val="Heading1"/>
    <w:rsid w:val="000B7A4E"/>
    <w:pPr>
      <w:spacing w:after="240"/>
      <w:jc w:val="center"/>
      <w:outlineLvl w:val="9"/>
    </w:pPr>
    <w:rPr>
      <w:caps/>
    </w:rPr>
  </w:style>
  <w:style w:type="paragraph" w:customStyle="1" w:styleId="Version">
    <w:name w:val="Version"/>
    <w:rsid w:val="000B7A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7A4E"/>
    <w:pPr>
      <w:numPr>
        <w:numId w:val="12"/>
      </w:numPr>
      <w:tabs>
        <w:tab w:val="clear" w:pos="680"/>
      </w:tabs>
    </w:pPr>
  </w:style>
  <w:style w:type="paragraph" w:styleId="Index1">
    <w:name w:val="index 1"/>
    <w:basedOn w:val="Normal"/>
    <w:next w:val="Normal"/>
    <w:semiHidden/>
    <w:rsid w:val="000B7A4E"/>
    <w:pPr>
      <w:keepNext w:val="0"/>
      <w:tabs>
        <w:tab w:val="right" w:pos="4176"/>
      </w:tabs>
      <w:ind w:left="198" w:hanging="198"/>
    </w:pPr>
    <w:rPr>
      <w:rFonts w:ascii="Garamond" w:hAnsi="Garamond"/>
    </w:rPr>
  </w:style>
  <w:style w:type="paragraph" w:styleId="IndexHeading">
    <w:name w:val="index heading"/>
    <w:basedOn w:val="Normal"/>
    <w:next w:val="Index1"/>
    <w:semiHidden/>
    <w:rsid w:val="000B7A4E"/>
    <w:pPr>
      <w:spacing w:before="120" w:after="120"/>
    </w:pPr>
    <w:rPr>
      <w:rFonts w:ascii="Arial" w:hAnsi="Arial"/>
      <w:b/>
      <w:color w:val="918585"/>
      <w:sz w:val="24"/>
    </w:rPr>
  </w:style>
  <w:style w:type="paragraph" w:styleId="Header">
    <w:name w:val="header"/>
    <w:basedOn w:val="Normal"/>
    <w:link w:val="HeaderChar"/>
    <w:rsid w:val="000B7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A4E"/>
    <w:rPr>
      <w:rFonts w:ascii="Times New Roman" w:eastAsia="Times New Roman" w:hAnsi="Times New Roman" w:cs="Times New Roman"/>
      <w:sz w:val="16"/>
      <w:szCs w:val="20"/>
      <w:lang w:val="en-GB" w:eastAsia="en-US"/>
    </w:rPr>
  </w:style>
  <w:style w:type="paragraph" w:customStyle="1" w:styleId="Chapter">
    <w:name w:val="Chapter"/>
    <w:basedOn w:val="Normal"/>
    <w:rsid w:val="000B7A4E"/>
    <w:pPr>
      <w:spacing w:before="240"/>
    </w:pPr>
    <w:rPr>
      <w:rFonts w:ascii="Times New Roman" w:hAnsi="Times New Roman"/>
      <w:smallCaps/>
      <w:spacing w:val="80"/>
      <w:sz w:val="28"/>
    </w:rPr>
  </w:style>
  <w:style w:type="paragraph" w:customStyle="1" w:styleId="InChapter">
    <w:name w:val="InChapter"/>
    <w:basedOn w:val="Heading3"/>
    <w:rsid w:val="000B7A4E"/>
    <w:pPr>
      <w:spacing w:after="240"/>
      <w:outlineLvl w:val="9"/>
    </w:pPr>
    <w:rPr>
      <w:noProof/>
    </w:rPr>
  </w:style>
  <w:style w:type="paragraph" w:styleId="Index2">
    <w:name w:val="index 2"/>
    <w:basedOn w:val="Normal"/>
    <w:next w:val="Normal"/>
    <w:semiHidden/>
    <w:rsid w:val="000B7A4E"/>
    <w:pPr>
      <w:tabs>
        <w:tab w:val="right" w:pos="4176"/>
      </w:tabs>
      <w:ind w:left="568" w:hanging="284"/>
    </w:pPr>
    <w:rPr>
      <w:rFonts w:ascii="Garamond" w:hAnsi="Garamond"/>
    </w:rPr>
  </w:style>
  <w:style w:type="paragraph" w:customStyle="1" w:styleId="Byline">
    <w:name w:val="Byline"/>
    <w:rsid w:val="000B7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A4E"/>
    <w:pPr>
      <w:tabs>
        <w:tab w:val="clear" w:pos="3600"/>
        <w:tab w:val="clear" w:pos="3958"/>
      </w:tabs>
      <w:jc w:val="right"/>
    </w:pPr>
  </w:style>
  <w:style w:type="character" w:styleId="Emphasis">
    <w:name w:val="Emphasis"/>
    <w:basedOn w:val="DefaultParagraphFont"/>
    <w:qFormat/>
    <w:rsid w:val="000B7A4E"/>
    <w:rPr>
      <w:i/>
    </w:rPr>
  </w:style>
  <w:style w:type="paragraph" w:styleId="Caption">
    <w:name w:val="caption"/>
    <w:basedOn w:val="BodyText"/>
    <w:next w:val="Normal"/>
    <w:qFormat/>
    <w:rsid w:val="000B7A4E"/>
    <w:pPr>
      <w:framePr w:w="2268" w:hSpace="181" w:vSpace="181" w:wrap="around" w:vAnchor="text" w:hAnchor="page" w:x="1135" w:y="285" w:anchorLock="1"/>
    </w:pPr>
    <w:rPr>
      <w:i/>
    </w:rPr>
  </w:style>
  <w:style w:type="paragraph" w:customStyle="1" w:styleId="MiniTOCTitle">
    <w:name w:val="MiniTOCTitle"/>
    <w:basedOn w:val="Heading4"/>
    <w:rsid w:val="000B7A4E"/>
    <w:pPr>
      <w:spacing w:before="240"/>
      <w:outlineLvl w:val="9"/>
    </w:pPr>
    <w:rPr>
      <w:noProof/>
      <w:sz w:val="24"/>
    </w:rPr>
  </w:style>
  <w:style w:type="paragraph" w:customStyle="1" w:styleId="MiniTOCItem">
    <w:name w:val="MiniTOCItem"/>
    <w:basedOn w:val="ListBullet"/>
    <w:rsid w:val="000B7A4E"/>
    <w:pPr>
      <w:numPr>
        <w:numId w:val="0"/>
      </w:numPr>
      <w:tabs>
        <w:tab w:val="right" w:leader="dot" w:pos="6521"/>
      </w:tabs>
      <w:spacing w:before="0" w:after="0"/>
    </w:pPr>
  </w:style>
  <w:style w:type="paragraph" w:customStyle="1" w:styleId="TOFTitle">
    <w:name w:val="TOFTitle"/>
    <w:basedOn w:val="TOCTitle"/>
    <w:rsid w:val="000B7A4E"/>
  </w:style>
  <w:style w:type="paragraph" w:styleId="TableofFigures">
    <w:name w:val="table of figures"/>
    <w:basedOn w:val="Normal"/>
    <w:next w:val="Normal"/>
    <w:semiHidden/>
    <w:rsid w:val="000B7A4E"/>
    <w:pPr>
      <w:tabs>
        <w:tab w:val="right" w:leader="dot" w:pos="9072"/>
      </w:tabs>
      <w:ind w:left="970" w:hanging="403"/>
    </w:pPr>
    <w:rPr>
      <w:rFonts w:ascii="Times New Roman" w:hAnsi="Times New Roman"/>
      <w:b/>
    </w:rPr>
  </w:style>
  <w:style w:type="paragraph" w:styleId="ListNumber">
    <w:name w:val="List Number"/>
    <w:basedOn w:val="List"/>
    <w:rsid w:val="000B7A4E"/>
    <w:pPr>
      <w:numPr>
        <w:numId w:val="14"/>
      </w:numPr>
      <w:tabs>
        <w:tab w:val="clear" w:pos="340"/>
      </w:tabs>
    </w:pPr>
  </w:style>
  <w:style w:type="character" w:customStyle="1" w:styleId="WingdingSymbols">
    <w:name w:val="Wingding Symbols"/>
    <w:rsid w:val="000B7A4E"/>
    <w:rPr>
      <w:rFonts w:ascii="Wingdings" w:hAnsi="Wingdings"/>
    </w:rPr>
  </w:style>
  <w:style w:type="paragraph" w:customStyle="1" w:styleId="TableHeading">
    <w:name w:val="Table Heading"/>
    <w:basedOn w:val="HeadingBase"/>
    <w:rsid w:val="000B7A4E"/>
    <w:pPr>
      <w:keepLines/>
      <w:pBdr>
        <w:bottom w:val="single" w:sz="6" w:space="1" w:color="918585"/>
      </w:pBdr>
      <w:spacing w:before="240"/>
    </w:pPr>
  </w:style>
  <w:style w:type="character" w:customStyle="1" w:styleId="HotSpot">
    <w:name w:val="HotSpot"/>
    <w:rsid w:val="000B7A4E"/>
    <w:rPr>
      <w:color w:val="0033CC"/>
      <w:u w:val="none"/>
    </w:rPr>
  </w:style>
  <w:style w:type="paragraph" w:customStyle="1" w:styleId="BodyTextRight">
    <w:name w:val="Body Text Right"/>
    <w:basedOn w:val="BodyText"/>
    <w:rsid w:val="000B7A4E"/>
    <w:pPr>
      <w:spacing w:before="0" w:after="0"/>
      <w:jc w:val="right"/>
    </w:pPr>
  </w:style>
  <w:style w:type="paragraph" w:styleId="Index3">
    <w:name w:val="index 3"/>
    <w:basedOn w:val="ListNumber2"/>
    <w:next w:val="Normal"/>
    <w:semiHidden/>
    <w:rsid w:val="000B7A4E"/>
    <w:pPr>
      <w:numPr>
        <w:numId w:val="0"/>
      </w:numPr>
      <w:tabs>
        <w:tab w:val="right" w:leader="dot" w:pos="4176"/>
      </w:tabs>
    </w:pPr>
  </w:style>
  <w:style w:type="paragraph" w:styleId="ListNumber2">
    <w:name w:val="List Number 2"/>
    <w:basedOn w:val="List2"/>
    <w:rsid w:val="000B7A4E"/>
    <w:pPr>
      <w:numPr>
        <w:numId w:val="9"/>
      </w:numPr>
      <w:tabs>
        <w:tab w:val="clear" w:pos="1060"/>
      </w:tabs>
    </w:pPr>
  </w:style>
  <w:style w:type="paragraph" w:customStyle="1" w:styleId="MarginNote">
    <w:name w:val="Margin Note"/>
    <w:basedOn w:val="BodyText"/>
    <w:rsid w:val="000B7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A4E"/>
    <w:rPr>
      <w:sz w:val="32"/>
    </w:rPr>
  </w:style>
  <w:style w:type="paragraph" w:customStyle="1" w:styleId="HeadingProcedure">
    <w:name w:val="Heading Procedure"/>
    <w:basedOn w:val="HeadingBase"/>
    <w:next w:val="Normal"/>
    <w:rsid w:val="000B7A4E"/>
    <w:pPr>
      <w:tabs>
        <w:tab w:val="left" w:pos="0"/>
      </w:tabs>
      <w:spacing w:before="120" w:after="60"/>
    </w:pPr>
    <w:rPr>
      <w:i/>
      <w:color w:val="918585"/>
      <w:sz w:val="22"/>
    </w:rPr>
  </w:style>
  <w:style w:type="paragraph" w:customStyle="1" w:styleId="TableBodyText">
    <w:name w:val="Table Body Text"/>
    <w:basedOn w:val="BodyText"/>
    <w:rsid w:val="000B7A4E"/>
    <w:pPr>
      <w:spacing w:before="60" w:after="60"/>
    </w:pPr>
  </w:style>
  <w:style w:type="paragraph" w:styleId="ListContinue">
    <w:name w:val="List Continue"/>
    <w:basedOn w:val="List"/>
    <w:rsid w:val="000B7A4E"/>
    <w:pPr>
      <w:ind w:firstLine="0"/>
    </w:pPr>
  </w:style>
  <w:style w:type="paragraph" w:customStyle="1" w:styleId="ListNote">
    <w:name w:val="List Note"/>
    <w:basedOn w:val="List"/>
    <w:rsid w:val="000B7A4E"/>
    <w:pPr>
      <w:pBdr>
        <w:top w:val="single" w:sz="6" w:space="2" w:color="918585"/>
        <w:bottom w:val="single" w:sz="6" w:space="2" w:color="918585"/>
      </w:pBdr>
      <w:tabs>
        <w:tab w:val="left" w:pos="1021"/>
      </w:tabs>
      <w:ind w:firstLine="0"/>
    </w:pPr>
  </w:style>
  <w:style w:type="paragraph" w:customStyle="1" w:styleId="Warning">
    <w:name w:val="Warning"/>
    <w:basedOn w:val="BodyText"/>
    <w:rsid w:val="000B7A4E"/>
    <w:pPr>
      <w:shd w:val="clear" w:color="auto" w:fill="D9D9D9"/>
      <w:tabs>
        <w:tab w:val="left" w:pos="992"/>
      </w:tabs>
      <w:ind w:left="119" w:right="119"/>
    </w:pPr>
    <w:rPr>
      <w:sz w:val="20"/>
    </w:rPr>
  </w:style>
  <w:style w:type="paragraph" w:customStyle="1" w:styleId="MarginIcons">
    <w:name w:val="Margin Icons"/>
    <w:basedOn w:val="BodyText"/>
    <w:rsid w:val="000B7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A4E"/>
    <w:rPr>
      <w:rFonts w:ascii="Courier New" w:hAnsi="Courier New"/>
    </w:rPr>
  </w:style>
  <w:style w:type="paragraph" w:customStyle="1" w:styleId="NoteBullet">
    <w:name w:val="Note Bullet"/>
    <w:basedOn w:val="Note"/>
    <w:rsid w:val="000B7A4E"/>
    <w:pPr>
      <w:tabs>
        <w:tab w:val="clear" w:pos="680"/>
      </w:tabs>
      <w:spacing w:before="60" w:after="60"/>
    </w:pPr>
  </w:style>
  <w:style w:type="paragraph" w:customStyle="1" w:styleId="SubHeading2">
    <w:name w:val="SubHeading2"/>
    <w:basedOn w:val="HeadingBase"/>
    <w:rsid w:val="000B7A4E"/>
    <w:pPr>
      <w:spacing w:before="240" w:after="60"/>
    </w:pPr>
    <w:rPr>
      <w:sz w:val="20"/>
    </w:rPr>
  </w:style>
  <w:style w:type="paragraph" w:customStyle="1" w:styleId="SubHeading1">
    <w:name w:val="SubHeading1"/>
    <w:basedOn w:val="HeadingBase"/>
    <w:rsid w:val="000B7A4E"/>
    <w:pPr>
      <w:spacing w:before="240" w:after="60"/>
    </w:pPr>
    <w:rPr>
      <w:color w:val="918585"/>
      <w:sz w:val="22"/>
    </w:rPr>
  </w:style>
  <w:style w:type="paragraph" w:customStyle="1" w:styleId="SideHeading">
    <w:name w:val="Side Heading"/>
    <w:basedOn w:val="HeadingBase"/>
    <w:rsid w:val="000B7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A4E"/>
    <w:pPr>
      <w:numPr>
        <w:numId w:val="10"/>
      </w:numPr>
    </w:pPr>
  </w:style>
  <w:style w:type="paragraph" w:styleId="PlainText">
    <w:name w:val="Plain Text"/>
    <w:basedOn w:val="Normal"/>
    <w:link w:val="PlainTextChar"/>
    <w:rsid w:val="000B7A4E"/>
    <w:rPr>
      <w:sz w:val="20"/>
    </w:rPr>
  </w:style>
  <w:style w:type="character" w:customStyle="1" w:styleId="PlainTextChar">
    <w:name w:val="Plain Text Char"/>
    <w:basedOn w:val="DefaultParagraphFont"/>
    <w:link w:val="PlainText"/>
    <w:rsid w:val="000B7A4E"/>
    <w:rPr>
      <w:rFonts w:ascii="Courier New" w:eastAsia="Times New Roman" w:hAnsi="Courier New" w:cs="Times New Roman"/>
      <w:sz w:val="20"/>
      <w:szCs w:val="20"/>
      <w:lang w:eastAsia="en-US"/>
    </w:rPr>
  </w:style>
  <w:style w:type="character" w:customStyle="1" w:styleId="MenuOption">
    <w:name w:val="Menu Option"/>
    <w:basedOn w:val="DefaultParagraphFont"/>
    <w:rsid w:val="000B7A4E"/>
    <w:rPr>
      <w:b/>
      <w:smallCaps/>
    </w:rPr>
  </w:style>
  <w:style w:type="paragraph" w:customStyle="1" w:styleId="TableListNumber">
    <w:name w:val="Table List Number"/>
    <w:basedOn w:val="ListNumber"/>
    <w:rsid w:val="000B7A4E"/>
    <w:pPr>
      <w:numPr>
        <w:numId w:val="0"/>
      </w:numPr>
    </w:pPr>
  </w:style>
  <w:style w:type="paragraph" w:styleId="TOC4">
    <w:name w:val="toc 4"/>
    <w:basedOn w:val="TOCBase"/>
    <w:next w:val="Normal"/>
    <w:semiHidden/>
    <w:rsid w:val="000B7A4E"/>
    <w:pPr>
      <w:tabs>
        <w:tab w:val="right" w:leader="dot" w:pos="9071"/>
      </w:tabs>
      <w:ind w:left="1701"/>
    </w:pPr>
  </w:style>
  <w:style w:type="paragraph" w:customStyle="1" w:styleId="ListAlpha">
    <w:name w:val="List Alpha"/>
    <w:basedOn w:val="List"/>
    <w:rsid w:val="000B7A4E"/>
    <w:pPr>
      <w:numPr>
        <w:numId w:val="8"/>
      </w:numPr>
    </w:pPr>
  </w:style>
  <w:style w:type="paragraph" w:customStyle="1" w:styleId="ListAlpha2">
    <w:name w:val="List Alpha 2"/>
    <w:basedOn w:val="List2"/>
    <w:rsid w:val="000B7A4E"/>
    <w:pPr>
      <w:numPr>
        <w:numId w:val="7"/>
      </w:numPr>
    </w:pPr>
  </w:style>
  <w:style w:type="paragraph" w:styleId="List2">
    <w:name w:val="List 2"/>
    <w:basedOn w:val="BodyText"/>
    <w:rsid w:val="000B7A4E"/>
    <w:pPr>
      <w:tabs>
        <w:tab w:val="left" w:pos="680"/>
      </w:tabs>
      <w:spacing w:before="60" w:after="60"/>
      <w:ind w:left="680" w:hanging="340"/>
    </w:pPr>
  </w:style>
  <w:style w:type="paragraph" w:styleId="List3">
    <w:name w:val="List 3"/>
    <w:basedOn w:val="BodyText"/>
    <w:rsid w:val="000B7A4E"/>
    <w:pPr>
      <w:tabs>
        <w:tab w:val="left" w:pos="1021"/>
      </w:tabs>
      <w:spacing w:before="60" w:after="60"/>
      <w:ind w:left="1020" w:hanging="340"/>
    </w:pPr>
  </w:style>
  <w:style w:type="paragraph" w:styleId="List4">
    <w:name w:val="List 4"/>
    <w:basedOn w:val="BodyText"/>
    <w:rsid w:val="000B7A4E"/>
    <w:pPr>
      <w:tabs>
        <w:tab w:val="left" w:pos="1361"/>
      </w:tabs>
      <w:spacing w:before="60" w:after="60"/>
      <w:ind w:left="1361" w:hanging="340"/>
    </w:pPr>
  </w:style>
  <w:style w:type="paragraph" w:styleId="List5">
    <w:name w:val="List 5"/>
    <w:basedOn w:val="BodyText"/>
    <w:rsid w:val="000B7A4E"/>
    <w:pPr>
      <w:tabs>
        <w:tab w:val="left" w:pos="1701"/>
      </w:tabs>
      <w:spacing w:before="60" w:after="60"/>
      <w:ind w:left="1701" w:hanging="340"/>
    </w:pPr>
  </w:style>
  <w:style w:type="paragraph" w:styleId="ListBullet3">
    <w:name w:val="List Bullet 3"/>
    <w:basedOn w:val="List3"/>
    <w:rsid w:val="000B7A4E"/>
    <w:pPr>
      <w:numPr>
        <w:numId w:val="13"/>
      </w:numPr>
      <w:tabs>
        <w:tab w:val="clear" w:pos="1021"/>
      </w:tabs>
      <w:ind w:left="1037" w:hanging="357"/>
    </w:pPr>
  </w:style>
  <w:style w:type="paragraph" w:styleId="ListBullet4">
    <w:name w:val="List Bullet 4"/>
    <w:basedOn w:val="List4"/>
    <w:rsid w:val="000B7A4E"/>
    <w:pPr>
      <w:numPr>
        <w:numId w:val="2"/>
      </w:numPr>
      <w:tabs>
        <w:tab w:val="clear" w:pos="1361"/>
      </w:tabs>
    </w:pPr>
  </w:style>
  <w:style w:type="paragraph" w:styleId="ListBullet5">
    <w:name w:val="List Bullet 5"/>
    <w:basedOn w:val="List5"/>
    <w:rsid w:val="000B7A4E"/>
    <w:pPr>
      <w:numPr>
        <w:numId w:val="3"/>
      </w:numPr>
    </w:pPr>
  </w:style>
  <w:style w:type="paragraph" w:styleId="ListContinue2">
    <w:name w:val="List Continue 2"/>
    <w:basedOn w:val="List2"/>
    <w:rsid w:val="000B7A4E"/>
    <w:pPr>
      <w:ind w:firstLine="0"/>
    </w:pPr>
  </w:style>
  <w:style w:type="paragraph" w:styleId="ListContinue3">
    <w:name w:val="List Continue 3"/>
    <w:basedOn w:val="List3"/>
    <w:rsid w:val="000B7A4E"/>
    <w:pPr>
      <w:ind w:left="1021" w:firstLine="0"/>
    </w:pPr>
  </w:style>
  <w:style w:type="paragraph" w:styleId="ListContinue4">
    <w:name w:val="List Continue 4"/>
    <w:basedOn w:val="List4"/>
    <w:rsid w:val="000B7A4E"/>
    <w:pPr>
      <w:ind w:firstLine="0"/>
    </w:pPr>
  </w:style>
  <w:style w:type="paragraph" w:styleId="ListContinue5">
    <w:name w:val="List Continue 5"/>
    <w:basedOn w:val="List5"/>
    <w:rsid w:val="000B7A4E"/>
    <w:pPr>
      <w:ind w:firstLine="0"/>
    </w:pPr>
  </w:style>
  <w:style w:type="paragraph" w:styleId="ListNumber3">
    <w:name w:val="List Number 3"/>
    <w:basedOn w:val="List3"/>
    <w:rsid w:val="000B7A4E"/>
    <w:pPr>
      <w:numPr>
        <w:numId w:val="4"/>
      </w:numPr>
    </w:pPr>
  </w:style>
  <w:style w:type="paragraph" w:styleId="ListNumber4">
    <w:name w:val="List Number 4"/>
    <w:basedOn w:val="List4"/>
    <w:rsid w:val="000B7A4E"/>
    <w:pPr>
      <w:numPr>
        <w:numId w:val="5"/>
      </w:numPr>
    </w:pPr>
  </w:style>
  <w:style w:type="paragraph" w:styleId="ListNumber5">
    <w:name w:val="List Number 5"/>
    <w:basedOn w:val="List5"/>
    <w:rsid w:val="000B7A4E"/>
    <w:pPr>
      <w:numPr>
        <w:numId w:val="6"/>
      </w:numPr>
    </w:pPr>
  </w:style>
  <w:style w:type="paragraph" w:styleId="BlockText">
    <w:name w:val="Block Text"/>
    <w:basedOn w:val="Normal"/>
    <w:rsid w:val="000B7A4E"/>
    <w:pPr>
      <w:spacing w:after="120"/>
      <w:ind w:left="1440" w:right="1440"/>
    </w:pPr>
  </w:style>
  <w:style w:type="character" w:customStyle="1" w:styleId="Subscript">
    <w:name w:val="Subscript"/>
    <w:basedOn w:val="DefaultParagraphFont"/>
    <w:rsid w:val="000B7A4E"/>
    <w:rPr>
      <w:sz w:val="16"/>
      <w:vertAlign w:val="subscript"/>
    </w:rPr>
  </w:style>
  <w:style w:type="character" w:customStyle="1" w:styleId="Superscript">
    <w:name w:val="Superscript"/>
    <w:basedOn w:val="DefaultParagraphFont"/>
    <w:rsid w:val="000B7A4E"/>
    <w:rPr>
      <w:sz w:val="16"/>
      <w:vertAlign w:val="superscript"/>
    </w:rPr>
  </w:style>
  <w:style w:type="character" w:customStyle="1" w:styleId="Symbols">
    <w:name w:val="Symbols"/>
    <w:basedOn w:val="DefaultParagraphFont"/>
    <w:rsid w:val="000B7A4E"/>
    <w:rPr>
      <w:rFonts w:ascii="Symbol" w:hAnsi="Symbol"/>
    </w:rPr>
  </w:style>
  <w:style w:type="character" w:customStyle="1" w:styleId="MenuOptions">
    <w:name w:val="Menu Options"/>
    <w:basedOn w:val="DefaultParagraphFont"/>
    <w:rsid w:val="000B7A4E"/>
    <w:rPr>
      <w:rFonts w:ascii="Arial Narrow" w:hAnsi="Arial Narrow"/>
      <w:smallCaps/>
    </w:rPr>
  </w:style>
  <w:style w:type="character" w:customStyle="1" w:styleId="Buttons">
    <w:name w:val="Buttons"/>
    <w:basedOn w:val="DefaultParagraphFont"/>
    <w:rsid w:val="000B7A4E"/>
    <w:rPr>
      <w:b/>
    </w:rPr>
  </w:style>
  <w:style w:type="character" w:customStyle="1" w:styleId="Underlined">
    <w:name w:val="Underlined"/>
    <w:basedOn w:val="DefaultParagraphFont"/>
    <w:rsid w:val="000B7A4E"/>
    <w:rPr>
      <w:u w:val="single"/>
    </w:rPr>
  </w:style>
  <w:style w:type="paragraph" w:customStyle="1" w:styleId="TableBodyTextRight">
    <w:name w:val="Table Body Text Right"/>
    <w:basedOn w:val="TableBodyText"/>
    <w:rsid w:val="000B7A4E"/>
    <w:pPr>
      <w:widowControl w:val="0"/>
      <w:autoSpaceDE w:val="0"/>
      <w:autoSpaceDN w:val="0"/>
      <w:adjustRightInd w:val="0"/>
      <w:jc w:val="right"/>
    </w:pPr>
    <w:rPr>
      <w:rFonts w:cs="Arial"/>
      <w:szCs w:val="18"/>
    </w:rPr>
  </w:style>
  <w:style w:type="paragraph" w:customStyle="1" w:styleId="CopyrightText">
    <w:name w:val="Copyright Text"/>
    <w:basedOn w:val="BodyText"/>
    <w:rsid w:val="000B7A4E"/>
    <w:rPr>
      <w:sz w:val="18"/>
    </w:rPr>
  </w:style>
  <w:style w:type="paragraph" w:customStyle="1" w:styleId="BodySmallRight">
    <w:name w:val="Body Small Right"/>
    <w:basedOn w:val="BodyTextRight"/>
    <w:rsid w:val="000B7A4E"/>
    <w:rPr>
      <w:sz w:val="18"/>
      <w:szCs w:val="18"/>
    </w:rPr>
  </w:style>
  <w:style w:type="paragraph" w:customStyle="1" w:styleId="MarginEdition">
    <w:name w:val="Margin Edition"/>
    <w:basedOn w:val="MarginNote"/>
    <w:rsid w:val="000B7A4E"/>
    <w:pPr>
      <w:spacing w:before="0" w:after="0"/>
    </w:pPr>
    <w:rPr>
      <w:rFonts w:ascii="Times New Roman" w:hAnsi="Times New Roman"/>
      <w:color w:val="999999"/>
    </w:rPr>
  </w:style>
  <w:style w:type="paragraph" w:customStyle="1" w:styleId="Spacer">
    <w:name w:val="Spacer"/>
    <w:basedOn w:val="Normal"/>
    <w:rsid w:val="000B7A4E"/>
    <w:rPr>
      <w:sz w:val="2"/>
      <w:szCs w:val="2"/>
    </w:rPr>
  </w:style>
  <w:style w:type="character" w:customStyle="1" w:styleId="Small">
    <w:name w:val="Small"/>
    <w:basedOn w:val="DefaultParagraphFont"/>
    <w:rsid w:val="000B7A4E"/>
    <w:rPr>
      <w:sz w:val="16"/>
    </w:rPr>
  </w:style>
  <w:style w:type="paragraph" w:customStyle="1" w:styleId="WideTable">
    <w:name w:val="Wide Table"/>
    <w:basedOn w:val="Normal"/>
    <w:rsid w:val="000B7A4E"/>
    <w:pPr>
      <w:ind w:left="-1418"/>
    </w:pPr>
    <w:rPr>
      <w:sz w:val="2"/>
      <w:szCs w:val="2"/>
    </w:rPr>
  </w:style>
  <w:style w:type="character" w:styleId="PageNumber">
    <w:name w:val="page number"/>
    <w:basedOn w:val="DefaultParagraphFont"/>
    <w:rsid w:val="000B7A4E"/>
  </w:style>
  <w:style w:type="paragraph" w:styleId="Quote">
    <w:name w:val="Quote"/>
    <w:basedOn w:val="Heading1"/>
    <w:link w:val="QuoteChar"/>
    <w:qFormat/>
    <w:rsid w:val="000B7A4E"/>
    <w:rPr>
      <w:b w:val="0"/>
      <w:sz w:val="72"/>
      <w:szCs w:val="72"/>
      <w:lang w:val="en-NZ"/>
    </w:rPr>
  </w:style>
  <w:style w:type="character" w:customStyle="1" w:styleId="QuoteChar">
    <w:name w:val="Quote Char"/>
    <w:basedOn w:val="DefaultParagraphFont"/>
    <w:link w:val="Quote"/>
    <w:rsid w:val="000B7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A4E"/>
    <w:pPr>
      <w:pageBreakBefore/>
    </w:pPr>
  </w:style>
  <w:style w:type="paragraph" w:customStyle="1" w:styleId="Border">
    <w:name w:val="Border"/>
    <w:basedOn w:val="Normal"/>
    <w:qFormat/>
    <w:rsid w:val="000B7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A4E"/>
    <w:rPr>
      <w:b/>
      <w:bCs/>
      <w:i/>
      <w:iCs/>
      <w:color w:val="auto"/>
    </w:rPr>
  </w:style>
  <w:style w:type="paragraph" w:styleId="IntenseQuote">
    <w:name w:val="Intense Quote"/>
    <w:basedOn w:val="Normal"/>
    <w:next w:val="Normal"/>
    <w:link w:val="IntenseQuoteChar"/>
    <w:uiPriority w:val="30"/>
    <w:qFormat/>
    <w:rsid w:val="000B7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A4E"/>
    <w:rPr>
      <w:smallCaps/>
      <w:color w:val="auto"/>
      <w:u w:val="single"/>
    </w:rPr>
  </w:style>
  <w:style w:type="character" w:styleId="IntenseReference">
    <w:name w:val="Intense Reference"/>
    <w:basedOn w:val="DefaultParagraphFont"/>
    <w:uiPriority w:val="32"/>
    <w:qFormat/>
    <w:rsid w:val="000B7A4E"/>
    <w:rPr>
      <w:b/>
      <w:bCs/>
      <w:smallCaps/>
      <w:color w:val="auto"/>
      <w:spacing w:val="5"/>
      <w:u w:val="single"/>
    </w:rPr>
  </w:style>
  <w:style w:type="paragraph" w:customStyle="1" w:styleId="2ColumnHeading">
    <w:name w:val="2Column Heading"/>
    <w:basedOn w:val="BodyText"/>
    <w:qFormat/>
    <w:rsid w:val="000B7A4E"/>
    <w:pPr>
      <w:spacing w:after="60"/>
      <w:ind w:left="-2268"/>
    </w:pPr>
    <w:rPr>
      <w:b/>
    </w:rPr>
  </w:style>
  <w:style w:type="paragraph" w:customStyle="1" w:styleId="Heading1TOC">
    <w:name w:val="Heading1 TOC"/>
    <w:basedOn w:val="Normal"/>
    <w:qFormat/>
    <w:rsid w:val="000B7A4E"/>
    <w:pPr>
      <w:spacing w:before="240" w:after="120"/>
    </w:pPr>
    <w:rPr>
      <w:rFonts w:ascii="Times New Roman" w:hAnsi="Times New Roman"/>
      <w:b/>
      <w:sz w:val="32"/>
    </w:rPr>
  </w:style>
  <w:style w:type="paragraph" w:customStyle="1" w:styleId="Heading2TOC">
    <w:name w:val="Heading2 TOC"/>
    <w:basedOn w:val="Normal"/>
    <w:qFormat/>
    <w:rsid w:val="000B7A4E"/>
    <w:pPr>
      <w:spacing w:before="240" w:after="60"/>
    </w:pPr>
    <w:rPr>
      <w:rFonts w:ascii="Times New Roman" w:hAnsi="Times New Roman"/>
      <w:b/>
      <w:sz w:val="28"/>
    </w:rPr>
  </w:style>
  <w:style w:type="character" w:customStyle="1" w:styleId="Underline">
    <w:name w:val="Underline"/>
    <w:basedOn w:val="DefaultParagraphFont"/>
    <w:qFormat/>
    <w:rsid w:val="000B7A4E"/>
    <w:rPr>
      <w:u w:val="single"/>
    </w:rPr>
  </w:style>
  <w:style w:type="character" w:customStyle="1" w:styleId="BoldandItalics">
    <w:name w:val="Bold and Italics"/>
    <w:qFormat/>
    <w:rsid w:val="000B7A4E"/>
    <w:rPr>
      <w:b/>
      <w:i/>
      <w:u w:val="none"/>
    </w:rPr>
  </w:style>
  <w:style w:type="paragraph" w:styleId="BalloonText">
    <w:name w:val="Balloon Text"/>
    <w:basedOn w:val="Normal"/>
    <w:link w:val="BalloonTextChar"/>
    <w:rsid w:val="000B7A4E"/>
    <w:rPr>
      <w:rFonts w:ascii="Tahoma" w:hAnsi="Tahoma" w:cs="Tahoma"/>
      <w:sz w:val="16"/>
      <w:szCs w:val="16"/>
    </w:rPr>
  </w:style>
  <w:style w:type="character" w:customStyle="1" w:styleId="BalloonTextChar">
    <w:name w:val="Balloon Text Char"/>
    <w:basedOn w:val="DefaultParagraphFont"/>
    <w:link w:val="BalloonText"/>
    <w:rsid w:val="000B7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A4E"/>
    <w:rPr>
      <w:b/>
      <w:color w:val="660033"/>
      <w:spacing w:val="0"/>
    </w:rPr>
  </w:style>
  <w:style w:type="paragraph" w:customStyle="1" w:styleId="Nameditemlist">
    <w:name w:val="Named item list"/>
    <w:basedOn w:val="BodyText"/>
    <w:qFormat/>
    <w:rsid w:val="000B7A4E"/>
    <w:pPr>
      <w:tabs>
        <w:tab w:val="left" w:pos="2835"/>
      </w:tabs>
      <w:ind w:left="2835" w:hanging="2835"/>
    </w:pPr>
  </w:style>
  <w:style w:type="paragraph" w:customStyle="1" w:styleId="BodyTextnopadding">
    <w:name w:val="Body Text no padding"/>
    <w:basedOn w:val="BodyText"/>
    <w:qFormat/>
    <w:rsid w:val="000B7A4E"/>
    <w:pPr>
      <w:spacing w:before="0" w:after="0"/>
    </w:pPr>
  </w:style>
  <w:style w:type="paragraph" w:customStyle="1" w:styleId="BodyTextBold">
    <w:name w:val="Body Text Bold"/>
    <w:basedOn w:val="BodyText"/>
    <w:qFormat/>
    <w:rsid w:val="000B7A4E"/>
    <w:rPr>
      <w:b/>
    </w:rPr>
  </w:style>
  <w:style w:type="character" w:styleId="Hyperlink">
    <w:name w:val="Hyperlink"/>
    <w:basedOn w:val="DefaultParagraphFont"/>
    <w:uiPriority w:val="99"/>
    <w:unhideWhenUsed/>
    <w:rsid w:val="00AA4A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5305</Characters>
  <Application>Microsoft Office Word</Application>
  <DocSecurity>0</DocSecurity>
  <Lines>212</Lines>
  <Paragraphs>98</Paragraphs>
  <ScaleCrop>false</ScaleCrop>
  <Company>Author-it Software Corporation Ltd.</Company>
  <LinksUpToDate>false</LinksUpToDate>
  <CharactersWithSpaces>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UEEEC0049 Program and commission commercial security closed-circuit television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2024-11-29T00:56:00Z</dcterms:created>
  <dcterms:modified xsi:type="dcterms:W3CDTF">2024-11-29T00:56:00Z</dcterms:modified>
</cp:coreProperties>
</file>