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07B" w:rsidP="0001607B">
      <w:pPr>
        <w:pStyle w:val="Title"/>
      </w:pPr>
      <w:r>
        <w:fldChar w:fldCharType="begin"/>
      </w:r>
      <w:r>
        <w:instrText xml:space="preserve"> TITLE   \* MERGEFORMAT </w:instrText>
      </w:r>
      <w:r>
        <w:fldChar w:fldCharType="separate"/>
      </w:r>
      <w:r>
        <w:t>UEEEC0041 Install fire detection and warning system apparatus</w:t>
      </w:r>
      <w:r>
        <w:fldChar w:fldCharType="end"/>
      </w:r>
    </w:p>
    <w:p w:rsidR="0001607B" w:rsidP="0001607B">
      <w:pPr>
        <w:pStyle w:val="Version"/>
        <w:sectPr w:rsidSect="008006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67A" w:rsidP="0080067A">
      <w:pPr>
        <w:pStyle w:val="SuperHeading"/>
      </w:pPr>
      <w:r w:rsidRPr="0080067A">
        <w:t>UEEEC0041 Install fire detection and warning system apparatus</w:t>
      </w:r>
    </w:p>
    <w:p w:rsidR="00000000" w:rsidRPr="0080067A" w:rsidP="0080067A">
      <w:pPr>
        <w:pStyle w:val="Heading1"/>
      </w:pPr>
      <w:bookmarkStart w:id="1" w:name="O_1080369"/>
      <w:bookmarkEnd w:id="1"/>
      <w:r w:rsidRPr="0080067A">
        <w:t>Modification History</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Release 1. This is the first release of this unit of competency in the UEE Electrotechnology Training Package.</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2" w:name="O_1080370"/>
      <w:bookmarkEnd w:id="2"/>
      <w:r w:rsidRPr="0080067A">
        <w:t>Application</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This unit involves the skills and knowledge required to install fire detection and warning system apparatus.</w:t>
            </w:r>
          </w:p>
          <w:p w:rsidR="00000000" w:rsidRPr="0080067A" w:rsidP="0080067A">
            <w:pPr>
              <w:pStyle w:val="BodyText"/>
            </w:pPr>
            <w:r w:rsidRPr="0080067A">
              <w:t>It includes installing electronic fire detection and warning systems in buildings and premises. It also includes working safely and to industry sta</w:t>
            </w:r>
            <w:r w:rsidRPr="0080067A">
              <w:t>ndards, following oral and written instructions and workplace procedures, and securely placing and connecting fire detection system and warning components.</w:t>
            </w:r>
          </w:p>
          <w:p w:rsidR="00000000" w:rsidRPr="0080067A" w:rsidP="0080067A">
            <w:pPr>
              <w:pStyle w:val="BodyText"/>
            </w:pPr>
            <w:r w:rsidRPr="0080067A">
              <w:t>No licensing, legislative or certification requirements apply to this unit at the time of publicatio</w:t>
            </w:r>
            <w:r w:rsidRPr="0080067A">
              <w:t>n.</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3" w:name="O_1080371"/>
      <w:bookmarkEnd w:id="3"/>
      <w:r w:rsidRPr="0080067A">
        <w:t>Pre-requisite Unit</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UEECD0007 Apply work health and safety regulations, codes and practices in the workplace</w:t>
            </w:r>
          </w:p>
          <w:p w:rsidR="00000000" w:rsidRPr="0080067A" w:rsidP="0080067A">
            <w:pPr>
              <w:pStyle w:val="BodyText"/>
            </w:pPr>
            <w:r w:rsidRPr="0080067A">
              <w:t>UEECD0019 Fabricate, assemble and dismantle utilities industry components</w:t>
            </w:r>
          </w:p>
          <w:p w:rsidR="00000000" w:rsidRPr="0080067A" w:rsidP="0080067A">
            <w:pPr>
              <w:pStyle w:val="BodyText"/>
            </w:pPr>
            <w:r w:rsidRPr="0080067A">
              <w:t>UEECD0020 Fix and secure electrotechnology equipme</w:t>
            </w:r>
            <w:r w:rsidRPr="0080067A">
              <w:t>nt</w:t>
            </w:r>
          </w:p>
          <w:p w:rsidR="00000000" w:rsidRPr="0080067A" w:rsidP="0080067A">
            <w:pPr>
              <w:pStyle w:val="BodyText"/>
            </w:pPr>
            <w:r w:rsidRPr="0080067A">
              <w:t>UEECD0051 Use drawings, diagrams, schedules, standards, codes and specifications</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4" w:name="O_1080372"/>
      <w:bookmarkEnd w:id="4"/>
      <w:r w:rsidRPr="0080067A">
        <w:t>Competency Field</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Electronics and Communications</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5" w:name="O_1080373"/>
      <w:bookmarkEnd w:id="5"/>
      <w:r w:rsidRPr="0080067A">
        <w:t>Unit Sector</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Electrotechnology</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6" w:name="O_1080374"/>
      <w:bookmarkEnd w:id="6"/>
      <w:r w:rsidRPr="0080067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067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PERFORMANCE CRITERIA</w:t>
            </w:r>
          </w:p>
        </w:tc>
      </w:tr>
      <w:tr w:rsidTr="0080067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Performance criteria describe the performance needed to demonstrate achievement of the element.</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 xml:space="preserve">Prepare to assemble fire </w:t>
            </w:r>
            <w:r w:rsidRPr="0080067A">
              <w:rPr>
                <w:rStyle w:val="SpecialBold"/>
              </w:rPr>
              <w:t xml:space="preserve">detection and warning apparatus </w:t>
            </w: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 xml:space="preserve">Work health and safety (WHS)/occupational health and </w:t>
            </w:r>
            <w:r w:rsidRPr="0080067A">
              <w:t>safety (OHS) requirements and workplace procedures for a given work area are identified and applied</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 xml:space="preserve">WHS/OHS risk control measures are </w:t>
            </w:r>
            <w:r w:rsidRPr="0080067A">
              <w:t>followed in preparation for work</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Safety hazards that have not previously been identified are reported and advice on risk control measures sought from the work supervisor</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Nature and location of the work is obtained from work supervisor or appropriate person/s to determine the scope of work to be undertaken</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Advice is sought from work supervisor or other relevant person/s to ensure the work is coordinated effectively w</w:t>
            </w:r>
            <w:r w:rsidRPr="0080067A">
              <w:t>ith others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Sources of materials required for work activities are determined in accordance with workplace procedures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Tools, equipment and testing devices needed to carry out work activities are obtained and checked for correct operation and safety</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Assemble and set up fire detection and warning system</w:t>
            </w: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WHS/OHS risk control measures for carrying out the work are foll</w:t>
            </w:r>
            <w:r w:rsidRPr="0080067A">
              <w:t>owed</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Circuits/machines/plant are checked and isolated in accordance with WHS/OHS requirements and workplace procedures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Fire protection controller and detection and warning devices are located for optimum performance in accordance with custome</w:t>
            </w:r>
            <w:r w:rsidRPr="0080067A">
              <w:t>r requirements, industry standards and regulations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Accessories are installed straight and square in the required locations and within acceptable tolerances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Cables and conductors are terminated at accesso</w:t>
            </w:r>
            <w:r w:rsidRPr="0080067A">
              <w:t>ries in accordance with manufacturer specifications and regulatory requirements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Unplanned situations are responded to in accordance with workplace procedures in a manner that minimises risk to personnel and equipment</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Fire protection installat</w:t>
            </w:r>
            <w:r w:rsidRPr="0080067A">
              <w:t>ion is carried out efficiently without waste of materials or damage to apparatus, circuits or the surrounding environment using sustainable energy practices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rPr>
                <w:rStyle w:val="SpecialBold"/>
              </w:rPr>
              <w:t>Complete fire detection and warning system apparatus installation</w:t>
            </w: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WHS/OHS work completion ri</w:t>
            </w:r>
            <w:r w:rsidRPr="0080067A">
              <w:t>sk control measures and workplace procedures are followed</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Worksite is cleaned and made safe in accordance with established procedures</w:t>
            </w:r>
          </w:p>
        </w:tc>
      </w:tr>
      <w:tr w:rsidTr="0080067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06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Fire protection system is documented in accordance with regulatory requirements and workplace procedures</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7" w:name="O_1080375"/>
      <w:bookmarkEnd w:id="7"/>
      <w:r w:rsidRPr="0080067A">
        <w:t>Foundation Skills</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Foundation skills essential to performance are explicit in the performance criteria of this unit of competency.</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8" w:name="O_1080376"/>
      <w:bookmarkEnd w:id="8"/>
      <w:r w:rsidRPr="0080067A">
        <w:t>Range of Conditions</w:t>
      </w:r>
    </w:p>
    <w:tbl>
      <w:tblPr>
        <w:tblW w:w="9497" w:type="dxa"/>
        <w:tblLayout w:type="fixed"/>
        <w:tblCellMar>
          <w:left w:w="62" w:type="dxa"/>
          <w:right w:w="62" w:type="dxa"/>
        </w:tblCellMar>
        <w:tblLook w:val="0000"/>
      </w:tblPr>
      <w:tblGrid>
        <w:gridCol w:w="4693"/>
        <w:gridCol w:w="4804"/>
      </w:tblGrid>
      <w:tr w:rsidTr="0080067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Range is restricted to essential operating con</w:t>
            </w:r>
            <w:r w:rsidRPr="0080067A">
              <w:t>ditions and any other variables essential to the work environment.</w:t>
            </w:r>
          </w:p>
          <w:p w:rsidR="00000000" w:rsidP="0080067A">
            <w:pPr>
              <w:pStyle w:val="BodyText"/>
              <w:rPr>
                <w:lang w:val="en-NZ"/>
              </w:rPr>
            </w:pPr>
            <w:r w:rsidRPr="0080067A">
              <w:t>Non-essential conditions may be found in the UEE Electrotechnology Training Package Companion Volume Implementation Guide.</w:t>
            </w:r>
          </w:p>
        </w:tc>
      </w:tr>
      <w:tr w:rsidTr="0080067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Installing fire detection and warning system apparatus must incl</w:t>
            </w:r>
            <w:r w:rsidRPr="0080067A">
              <w:t>ude at least the following:</w:t>
            </w:r>
          </w:p>
        </w:tc>
        <w:tc>
          <w:tcPr>
            <w:tcW w:w="4804" w:type="dxa"/>
            <w:tcBorders>
              <w:top w:val="nil"/>
              <w:left w:val="nil"/>
              <w:bottom w:val="nil"/>
              <w:right w:val="nil"/>
            </w:tcBorders>
            <w:tcMar>
              <w:top w:w="0" w:type="dxa"/>
              <w:left w:w="62" w:type="dxa"/>
              <w:bottom w:w="0" w:type="dxa"/>
              <w:right w:w="62" w:type="dxa"/>
            </w:tcMar>
          </w:tcPr>
          <w:p w:rsidR="00000000" w:rsidRPr="0080067A" w:rsidP="0080067A">
            <w:pPr>
              <w:pStyle w:val="ListBullet"/>
            </w:pPr>
            <w:r w:rsidRPr="0080067A">
              <w:t xml:space="preserve">two fire alarms and warning systems, including: </w:t>
            </w:r>
          </w:p>
          <w:p w:rsidR="00000000" w:rsidRPr="0080067A" w:rsidP="0080067A">
            <w:pPr>
              <w:pStyle w:val="ListBullet2"/>
            </w:pPr>
            <w:r w:rsidRPr="0080067A">
              <w:t>one fire alarm system with at least one control and indicating panel, 50 input devices, five output devices and two system interface controls on at least one of the following:</w:t>
            </w:r>
          </w:p>
          <w:p w:rsidR="00000000" w:rsidRPr="0080067A" w:rsidP="0080067A">
            <w:pPr>
              <w:pStyle w:val="ListBullet3"/>
            </w:pPr>
            <w:r w:rsidRPr="0080067A">
              <w:t>analogue addressable system</w:t>
            </w:r>
          </w:p>
          <w:p w:rsidR="00000000" w:rsidRPr="0080067A" w:rsidP="0080067A">
            <w:pPr>
              <w:pStyle w:val="ListBullet3"/>
            </w:pPr>
            <w:r w:rsidRPr="0080067A">
              <w:t xml:space="preserve">addressable system </w:t>
            </w:r>
          </w:p>
          <w:p w:rsidR="00000000" w:rsidRPr="0080067A" w:rsidP="0080067A">
            <w:pPr>
              <w:pStyle w:val="ListBullet3"/>
            </w:pPr>
            <w:r w:rsidRPr="0080067A">
              <w:t>conventional system</w:t>
            </w:r>
          </w:p>
          <w:p w:rsidR="00000000" w:rsidRPr="0080067A" w:rsidP="0080067A">
            <w:pPr>
              <w:pStyle w:val="ListBullet2"/>
            </w:pPr>
            <w:r w:rsidRPr="0080067A">
              <w:t>one fire warning system with at least one control and indicating panel, 50 speakers, five interface communication devices and two warning indicators on at least one of the following:</w:t>
            </w:r>
          </w:p>
          <w:p w:rsidR="00000000" w:rsidRPr="0080067A" w:rsidP="0080067A">
            <w:pPr>
              <w:pStyle w:val="ListBullet3"/>
            </w:pPr>
            <w:r w:rsidRPr="0080067A">
              <w:t>ana</w:t>
            </w:r>
            <w:r w:rsidRPr="0080067A">
              <w:t>logue addressable system</w:t>
            </w:r>
          </w:p>
          <w:p w:rsidR="00000000" w:rsidRPr="0080067A" w:rsidP="0080067A">
            <w:pPr>
              <w:pStyle w:val="ListBullet3"/>
            </w:pPr>
            <w:r w:rsidRPr="0080067A">
              <w:t xml:space="preserve">addressable system </w:t>
            </w:r>
          </w:p>
          <w:p w:rsidR="00000000" w:rsidRPr="0080067A" w:rsidP="0080067A">
            <w:pPr>
              <w:pStyle w:val="ListBullet3"/>
            </w:pPr>
            <w:r w:rsidRPr="0080067A">
              <w:t>conventional system</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9" w:name="O_1080377"/>
      <w:bookmarkEnd w:id="9"/>
      <w:r w:rsidRPr="0080067A">
        <w:t>Unit Mapping Information</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This unit replaces and is equivalent to UEENEEH161A Install fire detection and warning system apparatus.</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10" w:name="O_1080384"/>
      <w:bookmarkEnd w:id="10"/>
      <w:r w:rsidRPr="0080067A">
        <w:t>Links</w:t>
      </w:r>
    </w:p>
    <w:p w:rsidR="00000000" w:rsidRPr="0080067A" w:rsidP="0001607B">
      <w:pPr>
        <w:pStyle w:val="BodyText"/>
      </w:pPr>
      <w:r w:rsidRPr="0080067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2A2F">
        <w:rPr>
          <w:rStyle w:val="Hyperlink"/>
        </w:rPr>
        <w:t>https://vetnet.gov.au/Pages/TrainingDocs.aspx?q=b8a8f136-5421-4ce1-92e0-2b50341431b6</w:t>
      </w:r>
      <w:r>
        <w:fldChar w:fldCharType="end"/>
      </w:r>
    </w:p>
    <w:p w:rsidR="00000000" w:rsidRPr="0080067A" w:rsidP="0001607B">
      <w:pPr>
        <w:pStyle w:val="BodyText"/>
        <w:sectPr w:rsidSect="0080067A">
          <w:headerReference w:type="default" r:id="rId10"/>
          <w:footerReference w:type="default" r:id="rId11"/>
          <w:pgSz w:w="11908" w:h="16833"/>
          <w:pgMar w:top="1702" w:right="1418" w:bottom="1702" w:left="1418" w:header="992" w:footer="992" w:gutter="0"/>
          <w:cols w:space="720"/>
          <w:noEndnote/>
          <w:docGrid w:linePitch="299"/>
        </w:sectPr>
      </w:pPr>
    </w:p>
    <w:p w:rsidR="00000000" w:rsidRPr="0080067A" w:rsidP="0080067A">
      <w:pPr>
        <w:pStyle w:val="SuperHeading"/>
      </w:pPr>
      <w:r w:rsidRPr="0080067A">
        <w:t xml:space="preserve">Assessment Requirements for UEEEC0041 Install fire detection </w:t>
      </w:r>
      <w:r w:rsidRPr="0080067A">
        <w:t>and warning system apparatus</w:t>
      </w:r>
    </w:p>
    <w:p w:rsidR="00000000" w:rsidRPr="0080067A" w:rsidP="0080067A">
      <w:pPr>
        <w:pStyle w:val="Heading1"/>
      </w:pPr>
      <w:bookmarkStart w:id="11" w:name="O_1080379"/>
      <w:bookmarkEnd w:id="11"/>
      <w:r w:rsidRPr="0080067A">
        <w:t>Modification History</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Release 1. This is the first release of this unit of competency in the UEE Electrotechnology Training Package.</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12" w:name="O_1080380"/>
      <w:bookmarkEnd w:id="12"/>
      <w:r w:rsidRPr="0080067A">
        <w:t>Performance Evidence</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 xml:space="preserve">Evidence required to demonstrate competence in this unit must be relevant to and satisfy all of the requirements of the elements, performance criteria and range of conditions on at least two separate occasions and include: </w:t>
            </w:r>
          </w:p>
        </w:tc>
      </w:tr>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ListBullet"/>
            </w:pPr>
            <w:r w:rsidRPr="0080067A">
              <w:t>apply sustainable energy princ</w:t>
            </w:r>
            <w:r w:rsidRPr="0080067A">
              <w:t>iples and practices</w:t>
            </w:r>
          </w:p>
          <w:p w:rsidR="00000000" w:rsidRPr="0080067A" w:rsidP="0080067A">
            <w:pPr>
              <w:pStyle w:val="ListBullet"/>
            </w:pPr>
            <w:r w:rsidRPr="0080067A">
              <w:t>applying industry standards and codes of practice for fire protection systems and equipment</w:t>
            </w:r>
          </w:p>
          <w:p w:rsidR="00000000" w:rsidRPr="0080067A" w:rsidP="0080067A">
            <w:pPr>
              <w:pStyle w:val="ListBullet"/>
            </w:pPr>
            <w:r w:rsidRPr="0080067A">
              <w:t>applying relevant work health and safety (WHS)/occupational health and safety (WHS/OHS) requirements, including using of risk control measures</w:t>
            </w:r>
          </w:p>
          <w:p w:rsidR="00000000" w:rsidRPr="0080067A" w:rsidP="0080067A">
            <w:pPr>
              <w:pStyle w:val="ListBullet"/>
            </w:pPr>
            <w:r w:rsidRPr="0080067A">
              <w:t>d</w:t>
            </w:r>
            <w:r w:rsidRPr="0080067A">
              <w:t>ealing with unplanned events/situations in accordance with workplace procedures in a manner that minimises risk to personnel and equipment</w:t>
            </w:r>
          </w:p>
          <w:p w:rsidR="00000000" w:rsidRPr="0080067A" w:rsidP="0080067A">
            <w:pPr>
              <w:pStyle w:val="ListBullet"/>
            </w:pPr>
            <w:r w:rsidRPr="0080067A">
              <w:t>documenting installation</w:t>
            </w:r>
          </w:p>
          <w:p w:rsidR="00000000" w:rsidRPr="0080067A" w:rsidP="0080067A">
            <w:pPr>
              <w:pStyle w:val="ListBullet"/>
            </w:pPr>
            <w:r w:rsidRPr="0080067A">
              <w:t>maintaining fire integrity</w:t>
            </w:r>
          </w:p>
          <w:p w:rsidR="00000000" w:rsidRPr="0080067A" w:rsidP="0080067A">
            <w:pPr>
              <w:pStyle w:val="ListBullet"/>
            </w:pPr>
            <w:r w:rsidRPr="0080067A">
              <w:t>placing and securing devices and accessories accurately</w:t>
            </w:r>
          </w:p>
          <w:p w:rsidR="00000000" w:rsidRPr="0080067A" w:rsidP="0080067A">
            <w:pPr>
              <w:pStyle w:val="ListBullet"/>
            </w:pPr>
            <w:r w:rsidRPr="0080067A">
              <w:t>reading and interpreting relevant documents with apparatus/device locations and connection arrangements</w:t>
            </w:r>
          </w:p>
          <w:p w:rsidR="00000000" w:rsidRPr="0080067A" w:rsidP="0080067A">
            <w:pPr>
              <w:pStyle w:val="ListBullet"/>
            </w:pPr>
            <w:r w:rsidRPr="0080067A">
              <w:t>terminating cable and conductors correctly.</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13" w:name="O_1080381"/>
      <w:bookmarkEnd w:id="13"/>
      <w:r w:rsidRPr="0080067A">
        <w:t>Knowledge Evidence</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067A">
            <w:pPr>
              <w:pStyle w:val="BodyText"/>
              <w:rPr>
                <w:lang w:val="en-NZ"/>
              </w:rPr>
            </w:pPr>
            <w:r w:rsidRPr="0080067A">
              <w:t>Evidence required to demonstrate competence in this unit must be rel</w:t>
            </w:r>
            <w:r w:rsidRPr="0080067A">
              <w:t xml:space="preserve">evant to and satisfy all of the requirements of the elements, performance criteria and range of conditions and include knowledge of: </w:t>
            </w:r>
          </w:p>
        </w:tc>
      </w:tr>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ListBullet"/>
            </w:pPr>
            <w:r w:rsidRPr="0080067A">
              <w:t>common operation and interface connections to other systems</w:t>
            </w:r>
          </w:p>
          <w:p w:rsidR="00000000" w:rsidRPr="0080067A" w:rsidP="0080067A">
            <w:pPr>
              <w:pStyle w:val="ListBullet"/>
            </w:pPr>
            <w:r w:rsidRPr="0080067A">
              <w:t>common operation and types of field data gathering equipment</w:t>
            </w:r>
          </w:p>
          <w:p w:rsidR="00000000" w:rsidRPr="0080067A" w:rsidP="0080067A">
            <w:pPr>
              <w:pStyle w:val="ListBullet"/>
            </w:pPr>
            <w:r w:rsidRPr="0080067A">
              <w:t>common operational requirements and types of control and indicating equipment</w:t>
            </w:r>
          </w:p>
          <w:p w:rsidR="00000000" w:rsidRPr="0080067A" w:rsidP="0080067A">
            <w:pPr>
              <w:pStyle w:val="ListBullet"/>
            </w:pPr>
            <w:r w:rsidRPr="0080067A">
              <w:t>effective and ineffective locations for fire detection devices and common causes of false alarms</w:t>
            </w:r>
          </w:p>
          <w:p w:rsidR="00000000" w:rsidRPr="0080067A" w:rsidP="0080067A">
            <w:pPr>
              <w:pStyle w:val="ListBullet"/>
            </w:pPr>
            <w:r w:rsidRPr="0080067A">
              <w:t>fire protection and warning system installations regulations</w:t>
            </w:r>
          </w:p>
          <w:p w:rsidR="00000000" w:rsidRPr="0080067A" w:rsidP="0080067A">
            <w:pPr>
              <w:pStyle w:val="ListBullet"/>
            </w:pPr>
            <w:r w:rsidRPr="0080067A">
              <w:t>fire pro</w:t>
            </w:r>
            <w:r w:rsidRPr="0080067A">
              <w:t>tection technologies, fire detection and warning systems, technical industry standards and regulations</w:t>
            </w:r>
          </w:p>
          <w:p w:rsidR="00000000" w:rsidRPr="0080067A" w:rsidP="0080067A">
            <w:pPr>
              <w:pStyle w:val="ListBullet"/>
            </w:pPr>
            <w:r w:rsidRPr="0080067A">
              <w:t xml:space="preserve">hazards associated with low voltage (LV), extra-low voltage (ELV) and high currents </w:t>
            </w:r>
          </w:p>
          <w:p w:rsidR="00000000" w:rsidRPr="0080067A" w:rsidP="0080067A">
            <w:pPr>
              <w:pStyle w:val="ListBullet"/>
            </w:pPr>
            <w:r w:rsidRPr="0080067A">
              <w:t>input devices, including conventional alarm zones, analogue or analo</w:t>
            </w:r>
            <w:r w:rsidRPr="0080067A">
              <w:t>gue addressable fire detectors, flow switch connections or switch connections</w:t>
            </w:r>
          </w:p>
          <w:p w:rsidR="00000000" w:rsidRPr="0080067A" w:rsidP="0080067A">
            <w:pPr>
              <w:pStyle w:val="ListBullet"/>
            </w:pPr>
            <w:r w:rsidRPr="0080067A">
              <w:t>interface communication devices, including warden in communication phones and remote public address (PA) inputs</w:t>
            </w:r>
          </w:p>
          <w:p w:rsidR="00000000" w:rsidRPr="0080067A" w:rsidP="0080067A">
            <w:pPr>
              <w:pStyle w:val="ListBullet"/>
            </w:pPr>
            <w:r w:rsidRPr="0080067A">
              <w:t>operating principles and characteristic of the various warning sys</w:t>
            </w:r>
            <w:r w:rsidRPr="0080067A">
              <w:t>tem components</w:t>
            </w:r>
          </w:p>
          <w:p w:rsidR="00000000" w:rsidRPr="0080067A" w:rsidP="0080067A">
            <w:pPr>
              <w:pStyle w:val="ListBullet"/>
            </w:pPr>
            <w:r w:rsidRPr="0080067A">
              <w:t>operating principles and characteristic of types of fire alarm detectors</w:t>
            </w:r>
          </w:p>
          <w:p w:rsidR="00000000" w:rsidRPr="0080067A" w:rsidP="0080067A">
            <w:pPr>
              <w:pStyle w:val="ListBullet"/>
            </w:pPr>
            <w:r w:rsidRPr="0080067A">
              <w:t>output devices, including shutdown signal, door or system release controls and solenoid valve controls</w:t>
            </w:r>
          </w:p>
          <w:p w:rsidR="00000000" w:rsidRPr="0080067A" w:rsidP="0080067A">
            <w:pPr>
              <w:pStyle w:val="ListBullet"/>
            </w:pPr>
            <w:r w:rsidRPr="0080067A">
              <w:t>purpose and interface requirements of smoke hazard management sys</w:t>
            </w:r>
            <w:r w:rsidRPr="0080067A">
              <w:t>tem</w:t>
            </w:r>
          </w:p>
          <w:p w:rsidR="00000000" w:rsidRPr="0080067A" w:rsidP="0080067A">
            <w:pPr>
              <w:pStyle w:val="ListBullet"/>
            </w:pPr>
            <w:r w:rsidRPr="0080067A">
              <w:t>purpose and operating principles of fire detection and warning systems</w:t>
            </w:r>
          </w:p>
          <w:p w:rsidR="00000000" w:rsidRPr="0080067A" w:rsidP="0080067A">
            <w:pPr>
              <w:pStyle w:val="ListBullet"/>
            </w:pPr>
            <w:r w:rsidRPr="0080067A">
              <w:t>purpose of fire alarm and warning systems</w:t>
            </w:r>
          </w:p>
          <w:p w:rsidR="00000000" w:rsidRPr="0080067A" w:rsidP="0080067A">
            <w:pPr>
              <w:pStyle w:val="ListBullet"/>
            </w:pPr>
            <w:r w:rsidRPr="0080067A">
              <w:t>relevant job safety assessments or risk mitigation processes, including:</w:t>
            </w:r>
          </w:p>
          <w:p w:rsidR="00000000" w:rsidRPr="0080067A" w:rsidP="0080067A">
            <w:pPr>
              <w:pStyle w:val="ListBullet2"/>
            </w:pPr>
            <w:r w:rsidRPr="0080067A">
              <w:t xml:space="preserve">relevant risk control measures used for dealing with the hazards </w:t>
            </w:r>
            <w:r w:rsidRPr="0080067A">
              <w:t>related to fire protection systems</w:t>
            </w:r>
          </w:p>
          <w:p w:rsidR="00000000" w:rsidRPr="0080067A" w:rsidP="0080067A">
            <w:pPr>
              <w:pStyle w:val="ListBullet2"/>
            </w:pPr>
            <w:r w:rsidRPr="0080067A">
              <w:t>risks and control measures associated with fire protection equipment</w:t>
            </w:r>
          </w:p>
          <w:p w:rsidR="00000000" w:rsidRPr="0080067A" w:rsidP="0080067A">
            <w:pPr>
              <w:pStyle w:val="ListBullet"/>
            </w:pPr>
            <w:r w:rsidRPr="0080067A">
              <w:t>relevant manufacturer specifications</w:t>
            </w:r>
          </w:p>
          <w:p w:rsidR="00000000" w:rsidRPr="0080067A" w:rsidP="0080067A">
            <w:pPr>
              <w:pStyle w:val="ListBullet"/>
            </w:pPr>
            <w:r w:rsidRPr="0080067A">
              <w:t>relevant WHS/OHS legislated requirements</w:t>
            </w:r>
          </w:p>
          <w:p w:rsidR="00000000" w:rsidRPr="0080067A" w:rsidP="0080067A">
            <w:pPr>
              <w:pStyle w:val="ListBullet"/>
            </w:pPr>
            <w:r w:rsidRPr="0080067A">
              <w:t>relevant workplace documentation</w:t>
            </w:r>
          </w:p>
          <w:p w:rsidR="00000000" w:rsidRPr="0080067A" w:rsidP="0080067A">
            <w:pPr>
              <w:pStyle w:val="ListBullet"/>
            </w:pPr>
            <w:r w:rsidRPr="0080067A">
              <w:t>relevant workplace policies and procedures, including:</w:t>
            </w:r>
          </w:p>
          <w:p w:rsidR="00000000" w:rsidRPr="0080067A" w:rsidP="0080067A">
            <w:pPr>
              <w:pStyle w:val="ListBullet2"/>
            </w:pPr>
            <w:r w:rsidRPr="0080067A">
              <w:t>interface procedures to isolate control functions between different fire protection building service systems</w:t>
            </w:r>
          </w:p>
          <w:p w:rsidR="00000000" w:rsidRPr="0080067A" w:rsidP="0080067A">
            <w:pPr>
              <w:pStyle w:val="ListBullet2"/>
            </w:pPr>
            <w:r w:rsidRPr="0080067A">
              <w:t>procedures for isolating/reinstating fire protection systems to inhibit back-to-base signal</w:t>
            </w:r>
            <w:r w:rsidRPr="0080067A">
              <w:t>s to monitoring station</w:t>
            </w:r>
          </w:p>
          <w:p w:rsidR="00000000" w:rsidRPr="0080067A" w:rsidP="0080067A">
            <w:pPr>
              <w:pStyle w:val="ListBullet2"/>
            </w:pPr>
            <w:r w:rsidRPr="0080067A">
              <w:t>procedures for isolating/reinstating fire protection systems to inhibit alarms operating fire protection suppression equipment</w:t>
            </w:r>
          </w:p>
          <w:p w:rsidR="00000000" w:rsidRPr="0080067A" w:rsidP="0080067A">
            <w:pPr>
              <w:pStyle w:val="ListBullet2"/>
            </w:pPr>
            <w:r w:rsidRPr="0080067A">
              <w:t>procedures for isolating/reinstating sections or parts of a fire protection system to inhibit alarms duri</w:t>
            </w:r>
            <w:r w:rsidRPr="0080067A">
              <w:t>ng building maintenance or system testing</w:t>
            </w:r>
          </w:p>
          <w:p w:rsidR="00000000" w:rsidRPr="0080067A" w:rsidP="0080067A">
            <w:pPr>
              <w:pStyle w:val="ListBullet2"/>
            </w:pPr>
            <w:r w:rsidRPr="0080067A">
              <w:t xml:space="preserve">relevant workplace procedures for isolating/reinstating and disconnection and reconnection of supplies in excess of ELV </w:t>
            </w:r>
          </w:p>
          <w:p w:rsidR="00000000" w:rsidRPr="0080067A" w:rsidP="0080067A">
            <w:pPr>
              <w:pStyle w:val="ListBullet"/>
            </w:pPr>
            <w:r w:rsidRPr="0080067A">
              <w:t xml:space="preserve">system interface controls, including communication signals to remote control and indicating </w:t>
            </w:r>
            <w:r w:rsidRPr="0080067A">
              <w:t>equipment, building monitoring systems, paging system and colour graphics</w:t>
            </w:r>
          </w:p>
          <w:p w:rsidR="00000000" w:rsidRPr="0080067A" w:rsidP="0080067A">
            <w:pPr>
              <w:pStyle w:val="ListBullet"/>
            </w:pPr>
            <w:r w:rsidRPr="0080067A">
              <w:t>warning devices and their operating parameters</w:t>
            </w:r>
          </w:p>
          <w:p w:rsidR="00000000" w:rsidRPr="0080067A" w:rsidP="0080067A">
            <w:pPr>
              <w:pStyle w:val="ListBullet"/>
            </w:pPr>
            <w:r w:rsidRPr="0080067A">
              <w:t xml:space="preserve">warning indicators, including flashing lights for hearing impaired persons and fire brigade building indication. </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14" w:name="O_1080382"/>
      <w:bookmarkEnd w:id="14"/>
      <w:r w:rsidRPr="0080067A">
        <w:t>Assessment Conditions</w:t>
      </w:r>
    </w:p>
    <w:tbl>
      <w:tblPr>
        <w:tblW w:w="9497" w:type="dxa"/>
        <w:tblLayout w:type="fixed"/>
        <w:tblCellMar>
          <w:left w:w="62" w:type="dxa"/>
          <w:right w:w="62" w:type="dxa"/>
        </w:tblCellMar>
        <w:tblLook w:val="0000"/>
      </w:tblPr>
      <w:tblGrid>
        <w:gridCol w:w="9497"/>
      </w:tblGrid>
      <w:tr w:rsidTr="008006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67A" w:rsidP="0080067A">
            <w:pPr>
              <w:pStyle w:val="BodyText"/>
            </w:pPr>
            <w:r w:rsidRPr="0080067A">
              <w:t xml:space="preserve">Assessors must hold credentials specified within the Standards for Registered Training Organisations current at the time of assessment. </w:t>
            </w:r>
          </w:p>
          <w:p w:rsidR="00000000" w:rsidRPr="0080067A" w:rsidP="0080067A">
            <w:pPr>
              <w:pStyle w:val="BodyText"/>
            </w:pPr>
            <w:r w:rsidRPr="0080067A">
              <w:t>Assessment must satisfy the Principles of Assessment and Rules of Evidence and all regulatory req</w:t>
            </w:r>
            <w:r w:rsidRPr="0080067A">
              <w:t>uirements included within the Standards for Registered Training Organisations current at the time of assessment</w:t>
            </w:r>
          </w:p>
          <w:p w:rsidR="00000000" w:rsidRPr="0080067A" w:rsidP="0080067A">
            <w:pPr>
              <w:pStyle w:val="BodyText"/>
            </w:pPr>
            <w:r w:rsidRPr="0080067A">
              <w:t>Assessment must occur in suitable workplace operational situations where it is appropriate to do so; where this is not appropriate, assessment m</w:t>
            </w:r>
            <w:r w:rsidRPr="0080067A">
              <w:t>ust occur in suitable simulated workplace operational situations that replicate workplace conditions.</w:t>
            </w:r>
          </w:p>
          <w:p w:rsidR="00000000" w:rsidRPr="0080067A" w:rsidP="0080067A">
            <w:pPr>
              <w:pStyle w:val="BodyText"/>
            </w:pPr>
            <w:r w:rsidRPr="0080067A">
              <w:t>Assessment processes and techniques must be appropriate to the language, literacy and numeracy requirements of the work being performed and the needs of t</w:t>
            </w:r>
            <w:r w:rsidRPr="0080067A">
              <w:t>he candidate.</w:t>
            </w:r>
          </w:p>
          <w:p w:rsidR="00000000" w:rsidRPr="0080067A" w:rsidP="0080067A">
            <w:pPr>
              <w:pStyle w:val="BodyText"/>
            </w:pPr>
            <w:r w:rsidRPr="0080067A">
              <w:t>Resources for assessment must include access to:</w:t>
            </w:r>
          </w:p>
          <w:p w:rsidR="00000000" w:rsidRPr="0080067A" w:rsidP="0080067A">
            <w:pPr>
              <w:pStyle w:val="ListBullet"/>
            </w:pPr>
            <w:r w:rsidRPr="0080067A">
              <w:t>a range of relevant exercises, case studies and/or simulations</w:t>
            </w:r>
          </w:p>
          <w:p w:rsidR="00000000" w:rsidRPr="0080067A" w:rsidP="0080067A">
            <w:pPr>
              <w:pStyle w:val="ListBullet"/>
            </w:pPr>
            <w:r w:rsidRPr="0080067A">
              <w:t>relevant and appropriate materials, tools, facilities, equipment and personal protective equipment (PPE) currently used in indust</w:t>
            </w:r>
            <w:r w:rsidRPr="0080067A">
              <w:t xml:space="preserve">ry </w:t>
            </w:r>
          </w:p>
          <w:p w:rsidR="00000000" w:rsidRPr="0080067A" w:rsidP="0080067A">
            <w:pPr>
              <w:pStyle w:val="ListBullet"/>
            </w:pPr>
            <w:r w:rsidRPr="0080067A">
              <w:t>resources that reflect current industry practices in relation to positioning and terminating fire detection and warning system apparatus</w:t>
            </w:r>
          </w:p>
          <w:p w:rsidR="00000000" w:rsidRPr="0080067A" w:rsidP="0080067A">
            <w:pPr>
              <w:pStyle w:val="ListBullet"/>
            </w:pPr>
            <w:r w:rsidRPr="0080067A">
              <w:t>applicable documentation, including workpla</w:t>
            </w:r>
            <w:r w:rsidRPr="0080067A">
              <w:t>ce procedures, equipment specifications, regulations, codes of practice and operation manuals.</w:t>
            </w:r>
          </w:p>
        </w:tc>
      </w:tr>
    </w:tbl>
    <w:p w:rsidR="00000000" w:rsidRPr="0080067A" w:rsidP="0080067A">
      <w:pPr>
        <w:pStyle w:val="NoPaddingFontSize1"/>
      </w:pPr>
    </w:p>
    <w:p w:rsidR="00000000" w:rsidRPr="0080067A" w:rsidP="0080067A">
      <w:pPr>
        <w:pStyle w:val="AllowPageBreak"/>
      </w:pPr>
    </w:p>
    <w:p w:rsidR="00000000" w:rsidRPr="0080067A" w:rsidP="0080067A">
      <w:pPr>
        <w:pStyle w:val="Heading1"/>
      </w:pPr>
      <w:bookmarkStart w:id="15" w:name="O_1080385"/>
      <w:bookmarkEnd w:id="15"/>
      <w:r w:rsidRPr="0080067A">
        <w:t>Links</w:t>
      </w:r>
    </w:p>
    <w:p w:rsidR="00000000" w:rsidRPr="0080067A" w:rsidP="0001607B">
      <w:pPr>
        <w:pStyle w:val="BodyText"/>
      </w:pPr>
      <w:r w:rsidRPr="0080067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52A2F">
        <w:rPr>
          <w:rStyle w:val="Hyperlink"/>
        </w:rPr>
        <w:t>https://vetnet.gov.au/Pages/TrainingDocs.aspx?q=b8a8f136-5421-4ce1-92e0-2b50341431b6</w:t>
      </w:r>
      <w:r>
        <w:fldChar w:fldCharType="end"/>
      </w:r>
    </w:p>
    <w:p w:rsidR="00000000" w:rsidRPr="0080067A" w:rsidP="0080067A"/>
    <w:sectPr w:rsidSect="008006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rsidRPr="0001607B" w:rsidP="00016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7B" w:rsidP="00800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1607B" w:rsidP="008006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1607B" w:rsidP="008006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rsidP="0080067A">
    <w:pPr>
      <w:pStyle w:val="Footer"/>
      <w:framePr w:wrap="around"/>
    </w:pPr>
    <w:r>
      <w:fldChar w:fldCharType="begin"/>
    </w:r>
    <w:r>
      <w:instrText xml:space="preserve"> DOCPROPERTY  Subject  \* MERGEFORMAT </w:instrText>
    </w:r>
    <w:r>
      <w:fldChar w:fldCharType="separate"/>
    </w:r>
    <w:r w:rsidR="0001607B">
      <w:t>Approved</w:t>
    </w:r>
    <w:r w:rsidR="0001607B">
      <w:fldChar w:fldCharType="end"/>
    </w:r>
    <w:r>
      <w:tab/>
      <w:t xml:space="preserve">Page </w:t>
    </w:r>
    <w:r>
      <w:fldChar w:fldCharType="begin"/>
    </w:r>
    <w:r>
      <w:instrText xml:space="preserve"> PAGE  \* Arabic  \* MERGEFORMAT </w:instrText>
    </w:r>
    <w:r>
      <w:fldChar w:fldCharType="separate"/>
    </w:r>
    <w:r w:rsidR="000160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607B">
      <w:rPr>
        <w:noProof/>
      </w:rPr>
      <w:t>6</w:t>
    </w:r>
    <w:r>
      <w:rPr>
        <w:noProof/>
      </w:rPr>
      <w:fldChar w:fldCharType="end"/>
    </w:r>
  </w:p>
  <w:p w:rsidR="0080067A" w:rsidP="0080067A">
    <w:pPr>
      <w:pStyle w:val="Footer"/>
      <w:framePr w:wrap="around"/>
    </w:pPr>
    <w:r>
      <w:t xml:space="preserve">© Commonwealth of Australia, </w:t>
    </w:r>
    <w:r>
      <w:fldChar w:fldCharType="begin"/>
    </w:r>
    <w:r>
      <w:instrText xml:space="preserve"> DATE  \@ "yyyy"  \* MERGEFORMAT </w:instrText>
    </w:r>
    <w:r>
      <w:fldChar w:fldCharType="separate"/>
    </w:r>
    <w:r w:rsidR="0001607B">
      <w:rPr>
        <w:noProof/>
      </w:rPr>
      <w:t>2025</w:t>
    </w:r>
    <w:r>
      <w:fldChar w:fldCharType="end"/>
    </w:r>
    <w:r>
      <w:tab/>
    </w:r>
    <w:r>
      <w:fldChar w:fldCharType="begin"/>
    </w:r>
    <w:r>
      <w:instrText xml:space="preserve"> DOCPROPERTY  Author  \* MERGEFORMAT </w:instrText>
    </w:r>
    <w:r>
      <w:fldChar w:fldCharType="separate"/>
    </w:r>
    <w:r w:rsidR="0001607B">
      <w:t>Powering Skills Organisation</w:t>
    </w:r>
    <w:r w:rsidR="0001607B">
      <w:fldChar w:fldCharType="end"/>
    </w:r>
  </w:p>
  <w:p w:rsidR="0080067A" w:rsidP="00800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67A" w:rsidRPr="0001607B" w:rsidP="00016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07B" w:rsidRPr="002D2AF8" w:rsidP="0080067A">
    <w:pPr>
      <w:pStyle w:val="Header"/>
      <w:framePr w:wrap="around"/>
    </w:pPr>
    <w:r>
      <w:fldChar w:fldCharType="begin"/>
    </w:r>
    <w:r>
      <w:instrText xml:space="preserve"> TITLE   \* MERGEFORMAT </w:instrText>
    </w:r>
    <w:r>
      <w:fldChar w:fldCharType="separate"/>
    </w:r>
    <w:r>
      <w:t>UEEEC0041 Install fire detection and warning system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1607B" w:rsidP="008006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A" w:rsidRPr="002D2AF8" w:rsidP="0080067A">
    <w:pPr>
      <w:pStyle w:val="Header"/>
      <w:framePr w:wrap="around"/>
    </w:pPr>
    <w:r>
      <w:fldChar w:fldCharType="begin"/>
    </w:r>
    <w:r>
      <w:instrText xml:space="preserve"> TITLE   \* MERGEFORMAT </w:instrText>
    </w:r>
    <w:r>
      <w:fldChar w:fldCharType="separate"/>
    </w:r>
    <w:r w:rsidR="0001607B">
      <w:t>UEEEC0041 Install fire detection and warning system apparatus</w:t>
    </w:r>
    <w:r w:rsidR="0001607B">
      <w:fldChar w:fldCharType="end"/>
    </w:r>
    <w:r>
      <w:tab/>
      <w:t xml:space="preserve">Date this document was generated: </w:t>
    </w:r>
    <w:r>
      <w:fldChar w:fldCharType="begin"/>
    </w:r>
    <w:r>
      <w:instrText xml:space="preserve"> CREATEDATE  \@ "d MMMM yyyy"  \* MERGEFORMAT </w:instrText>
    </w:r>
    <w:r>
      <w:fldChar w:fldCharType="separate"/>
    </w:r>
    <w:r w:rsidR="0001607B">
      <w:rPr>
        <w:noProof/>
      </w:rPr>
      <w:t>1 March 2025</w:t>
    </w:r>
    <w:r>
      <w:fldChar w:fldCharType="end"/>
    </w:r>
  </w:p>
  <w:p w:rsidR="0080067A" w:rsidP="00800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46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6F7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20B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67A"/>
    <w:pPr>
      <w:spacing w:before="360" w:after="60"/>
      <w:outlineLvl w:val="0"/>
    </w:pPr>
    <w:rPr>
      <w:sz w:val="32"/>
    </w:rPr>
  </w:style>
  <w:style w:type="paragraph" w:styleId="Heading2">
    <w:name w:val="heading 2"/>
    <w:basedOn w:val="HeadingBase"/>
    <w:next w:val="BodyText"/>
    <w:link w:val="Heading2Char"/>
    <w:qFormat/>
    <w:rsid w:val="0080067A"/>
    <w:pPr>
      <w:keepLines/>
      <w:spacing w:before="240" w:after="120"/>
      <w:outlineLvl w:val="1"/>
    </w:pPr>
    <w:rPr>
      <w:sz w:val="28"/>
      <w:szCs w:val="40"/>
    </w:rPr>
  </w:style>
  <w:style w:type="paragraph" w:styleId="Heading3">
    <w:name w:val="heading 3"/>
    <w:basedOn w:val="HeadingBase"/>
    <w:next w:val="BodyText"/>
    <w:link w:val="Heading3Char"/>
    <w:qFormat/>
    <w:rsid w:val="0080067A"/>
    <w:pPr>
      <w:spacing w:before="180" w:after="120"/>
      <w:outlineLvl w:val="2"/>
    </w:pPr>
    <w:rPr>
      <w:spacing w:val="-10"/>
      <w:kern w:val="32"/>
    </w:rPr>
  </w:style>
  <w:style w:type="paragraph" w:styleId="Heading4">
    <w:name w:val="heading 4"/>
    <w:basedOn w:val="HeadingBase"/>
    <w:next w:val="BodyText"/>
    <w:link w:val="Heading4Char"/>
    <w:qFormat/>
    <w:rsid w:val="0080067A"/>
    <w:pPr>
      <w:spacing w:before="160" w:after="120"/>
      <w:outlineLvl w:val="3"/>
    </w:pPr>
    <w:rPr>
      <w:sz w:val="22"/>
    </w:rPr>
  </w:style>
  <w:style w:type="paragraph" w:styleId="Heading5">
    <w:name w:val="heading 5"/>
    <w:basedOn w:val="HeadingBase"/>
    <w:next w:val="Normal"/>
    <w:link w:val="Heading5Char"/>
    <w:qFormat/>
    <w:rsid w:val="0080067A"/>
    <w:pPr>
      <w:spacing w:before="80"/>
      <w:outlineLvl w:val="4"/>
    </w:pPr>
    <w:rPr>
      <w:color w:val="918585"/>
      <w:sz w:val="20"/>
    </w:rPr>
  </w:style>
  <w:style w:type="paragraph" w:styleId="Heading6">
    <w:name w:val="heading 6"/>
    <w:basedOn w:val="HeadingBase"/>
    <w:next w:val="Normal"/>
    <w:link w:val="Heading6Char"/>
    <w:qFormat/>
    <w:rsid w:val="0080067A"/>
    <w:pPr>
      <w:spacing w:before="60"/>
      <w:outlineLvl w:val="5"/>
    </w:pPr>
    <w:rPr>
      <w:color w:val="918585"/>
      <w:sz w:val="20"/>
    </w:rPr>
  </w:style>
  <w:style w:type="paragraph" w:styleId="Heading7">
    <w:name w:val="heading 7"/>
    <w:basedOn w:val="Normal"/>
    <w:next w:val="Normal"/>
    <w:link w:val="Heading7Char"/>
    <w:qFormat/>
    <w:rsid w:val="0080067A"/>
    <w:pPr>
      <w:ind w:left="720"/>
      <w:outlineLvl w:val="6"/>
    </w:pPr>
    <w:rPr>
      <w:i/>
    </w:rPr>
  </w:style>
  <w:style w:type="paragraph" w:styleId="Heading8">
    <w:name w:val="heading 8"/>
    <w:basedOn w:val="Normal"/>
    <w:next w:val="Normal"/>
    <w:link w:val="Heading8Char"/>
    <w:qFormat/>
    <w:rsid w:val="0080067A"/>
    <w:pPr>
      <w:ind w:left="720"/>
      <w:outlineLvl w:val="7"/>
    </w:pPr>
    <w:rPr>
      <w:i/>
    </w:rPr>
  </w:style>
  <w:style w:type="paragraph" w:styleId="Heading9">
    <w:name w:val="heading 9"/>
    <w:basedOn w:val="Normal"/>
    <w:next w:val="Normal"/>
    <w:link w:val="Heading9Char"/>
    <w:qFormat/>
    <w:rsid w:val="0080067A"/>
    <w:pPr>
      <w:ind w:left="720"/>
      <w:outlineLvl w:val="8"/>
    </w:pPr>
    <w:rPr>
      <w:i/>
    </w:rPr>
  </w:style>
  <w:style w:type="character" w:default="1" w:styleId="DefaultParagraphFont">
    <w:name w:val="Default Paragraph Font"/>
    <w:uiPriority w:val="1"/>
    <w:unhideWhenUsed/>
    <w:rsid w:val="00800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67A"/>
  </w:style>
  <w:style w:type="character" w:customStyle="1" w:styleId="Heading1Char">
    <w:name w:val="Heading 1 Char"/>
    <w:basedOn w:val="DefaultParagraphFont"/>
    <w:link w:val="Heading1"/>
    <w:rsid w:val="0080067A"/>
    <w:rPr>
      <w:rFonts w:ascii="Times New Roman" w:eastAsia="Times New Roman" w:hAnsi="Times New Roman" w:cs="Times New Roman"/>
      <w:b/>
      <w:sz w:val="32"/>
      <w:szCs w:val="20"/>
      <w:lang w:eastAsia="en-US"/>
    </w:rPr>
  </w:style>
  <w:style w:type="paragraph" w:styleId="BodyText">
    <w:name w:val="Body Text"/>
    <w:basedOn w:val="Normal"/>
    <w:link w:val="BodyTextChar"/>
    <w:rsid w:val="008006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67A"/>
    <w:rPr>
      <w:rFonts w:ascii="Times New Roman" w:eastAsia="Times New Roman" w:hAnsi="Times New Roman" w:cs="Times New Roman"/>
      <w:sz w:val="24"/>
      <w:lang w:eastAsia="en-US"/>
    </w:rPr>
  </w:style>
  <w:style w:type="paragraph" w:styleId="ListBullet">
    <w:name w:val="List Bullet"/>
    <w:basedOn w:val="List"/>
    <w:rsid w:val="0080067A"/>
    <w:pPr>
      <w:numPr>
        <w:numId w:val="13"/>
      </w:numPr>
      <w:tabs>
        <w:tab w:val="clear" w:pos="340"/>
      </w:tabs>
      <w:spacing w:before="40" w:after="40"/>
    </w:pPr>
  </w:style>
  <w:style w:type="character" w:customStyle="1" w:styleId="SpecialBold">
    <w:name w:val="Special Bold"/>
    <w:basedOn w:val="DefaultParagraphFont"/>
    <w:rsid w:val="0080067A"/>
    <w:rPr>
      <w:b/>
      <w:spacing w:val="0"/>
    </w:rPr>
  </w:style>
  <w:style w:type="paragraph" w:styleId="ListBullet2">
    <w:name w:val="List Bullet 2"/>
    <w:basedOn w:val="List2"/>
    <w:rsid w:val="0080067A"/>
    <w:pPr>
      <w:numPr>
        <w:numId w:val="14"/>
      </w:numPr>
      <w:tabs>
        <w:tab w:val="clear" w:pos="680"/>
      </w:tabs>
    </w:pPr>
  </w:style>
  <w:style w:type="paragraph" w:customStyle="1" w:styleId="SuperHeading">
    <w:name w:val="SuperHeading"/>
    <w:basedOn w:val="Normal"/>
    <w:rsid w:val="0080067A"/>
    <w:pPr>
      <w:spacing w:before="240" w:after="120"/>
      <w:outlineLvl w:val="0"/>
    </w:pPr>
    <w:rPr>
      <w:rFonts w:ascii="Times New Roman" w:hAnsi="Times New Roman"/>
      <w:b/>
      <w:sz w:val="32"/>
    </w:rPr>
  </w:style>
  <w:style w:type="paragraph" w:customStyle="1" w:styleId="AllowPageBreak">
    <w:name w:val="AllowPageBreak"/>
    <w:rsid w:val="0080067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067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0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67A"/>
    <w:rPr>
      <w:rFonts w:ascii="Courier New" w:eastAsia="Times New Roman" w:hAnsi="Courier New" w:cs="Times New Roman"/>
      <w:i/>
      <w:szCs w:val="20"/>
      <w:lang w:eastAsia="en-US"/>
    </w:rPr>
  </w:style>
  <w:style w:type="paragraph" w:customStyle="1" w:styleId="HeadingBase">
    <w:name w:val="Heading Base"/>
    <w:rsid w:val="00800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67A"/>
    <w:pPr>
      <w:tabs>
        <w:tab w:val="right" w:leader="dot" w:pos="9072"/>
      </w:tabs>
      <w:ind w:left="567"/>
    </w:pPr>
    <w:rPr>
      <w:szCs w:val="22"/>
    </w:rPr>
  </w:style>
  <w:style w:type="paragraph" w:customStyle="1" w:styleId="TOCBase">
    <w:name w:val="TOC Base"/>
    <w:rsid w:val="00800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67A"/>
    <w:pPr>
      <w:tabs>
        <w:tab w:val="right" w:leader="dot" w:pos="9072"/>
      </w:tabs>
      <w:spacing w:before="40" w:after="40"/>
      <w:ind w:left="284"/>
    </w:pPr>
    <w:rPr>
      <w:rFonts w:ascii="Times New Roman" w:hAnsi="Times New Roman"/>
    </w:rPr>
  </w:style>
  <w:style w:type="paragraph" w:styleId="TOC1">
    <w:name w:val="toc 1"/>
    <w:basedOn w:val="TOCBase"/>
    <w:next w:val="Normal"/>
    <w:rsid w:val="00800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67A"/>
    <w:rPr>
      <w:rFonts w:ascii="Times New Roman" w:eastAsia="Times New Roman" w:hAnsi="Times New Roman" w:cs="Times New Roman"/>
      <w:sz w:val="16"/>
      <w:lang w:eastAsia="en-US"/>
    </w:rPr>
  </w:style>
  <w:style w:type="paragraph" w:styleId="Title">
    <w:name w:val="Title"/>
    <w:basedOn w:val="HeadingBase"/>
    <w:link w:val="TitleChar"/>
    <w:qFormat/>
    <w:rsid w:val="0080067A"/>
    <w:pPr>
      <w:spacing w:before="5040"/>
      <w:jc w:val="center"/>
    </w:pPr>
    <w:rPr>
      <w:sz w:val="48"/>
      <w:szCs w:val="72"/>
      <w:lang w:val="en-US"/>
    </w:rPr>
  </w:style>
  <w:style w:type="character" w:customStyle="1" w:styleId="TitleChar">
    <w:name w:val="Title Char"/>
    <w:basedOn w:val="DefaultParagraphFont"/>
    <w:link w:val="Title"/>
    <w:rsid w:val="00800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67A"/>
    <w:pPr>
      <w:tabs>
        <w:tab w:val="left" w:pos="3600"/>
        <w:tab w:val="left" w:pos="3958"/>
      </w:tabs>
    </w:pPr>
  </w:style>
  <w:style w:type="paragraph" w:styleId="List">
    <w:name w:val="List"/>
    <w:basedOn w:val="BodyText"/>
    <w:next w:val="BodyText"/>
    <w:rsid w:val="0080067A"/>
    <w:pPr>
      <w:tabs>
        <w:tab w:val="left" w:pos="340"/>
      </w:tabs>
      <w:spacing w:before="60" w:after="60"/>
      <w:ind w:left="340" w:hanging="340"/>
    </w:pPr>
  </w:style>
  <w:style w:type="paragraph" w:customStyle="1" w:styleId="Note">
    <w:name w:val="Note"/>
    <w:basedOn w:val="BodyText"/>
    <w:rsid w:val="00800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67A"/>
    <w:pPr>
      <w:framePr w:wrap="auto" w:hAnchor="text" w:y="6049"/>
    </w:pPr>
    <w:rPr>
      <w:color w:val="000000"/>
      <w:sz w:val="40"/>
    </w:rPr>
  </w:style>
  <w:style w:type="paragraph" w:customStyle="1" w:styleId="TOCTitle">
    <w:name w:val="TOCTitle"/>
    <w:basedOn w:val="Heading1"/>
    <w:rsid w:val="0080067A"/>
    <w:pPr>
      <w:spacing w:after="240"/>
      <w:jc w:val="center"/>
      <w:outlineLvl w:val="9"/>
    </w:pPr>
    <w:rPr>
      <w:caps/>
    </w:rPr>
  </w:style>
  <w:style w:type="paragraph" w:customStyle="1" w:styleId="Version">
    <w:name w:val="Version"/>
    <w:rsid w:val="008006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67A"/>
    <w:pPr>
      <w:keepNext w:val="0"/>
      <w:tabs>
        <w:tab w:val="right" w:pos="4176"/>
      </w:tabs>
      <w:ind w:left="198" w:hanging="198"/>
    </w:pPr>
    <w:rPr>
      <w:rFonts w:ascii="Garamond" w:hAnsi="Garamond"/>
    </w:rPr>
  </w:style>
  <w:style w:type="paragraph" w:styleId="IndexHeading">
    <w:name w:val="index heading"/>
    <w:basedOn w:val="Normal"/>
    <w:next w:val="Index1"/>
    <w:semiHidden/>
    <w:rsid w:val="0080067A"/>
    <w:pPr>
      <w:spacing w:before="120" w:after="120"/>
    </w:pPr>
    <w:rPr>
      <w:rFonts w:ascii="Arial" w:hAnsi="Arial"/>
      <w:b/>
      <w:color w:val="918585"/>
      <w:sz w:val="24"/>
    </w:rPr>
  </w:style>
  <w:style w:type="paragraph" w:styleId="Header">
    <w:name w:val="header"/>
    <w:basedOn w:val="Normal"/>
    <w:link w:val="HeaderChar"/>
    <w:rsid w:val="00800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67A"/>
    <w:rPr>
      <w:rFonts w:ascii="Times New Roman" w:eastAsia="Times New Roman" w:hAnsi="Times New Roman" w:cs="Times New Roman"/>
      <w:sz w:val="16"/>
      <w:szCs w:val="20"/>
      <w:lang w:val="en-GB" w:eastAsia="en-US"/>
    </w:rPr>
  </w:style>
  <w:style w:type="paragraph" w:customStyle="1" w:styleId="Chapter">
    <w:name w:val="Chapter"/>
    <w:basedOn w:val="Normal"/>
    <w:rsid w:val="0080067A"/>
    <w:pPr>
      <w:spacing w:before="240"/>
    </w:pPr>
    <w:rPr>
      <w:rFonts w:ascii="Times New Roman" w:hAnsi="Times New Roman"/>
      <w:smallCaps/>
      <w:spacing w:val="80"/>
      <w:sz w:val="28"/>
    </w:rPr>
  </w:style>
  <w:style w:type="paragraph" w:customStyle="1" w:styleId="InChapter">
    <w:name w:val="InChapter"/>
    <w:basedOn w:val="Heading3"/>
    <w:rsid w:val="0080067A"/>
    <w:pPr>
      <w:spacing w:after="240"/>
      <w:outlineLvl w:val="9"/>
    </w:pPr>
    <w:rPr>
      <w:noProof/>
    </w:rPr>
  </w:style>
  <w:style w:type="paragraph" w:styleId="Index2">
    <w:name w:val="index 2"/>
    <w:basedOn w:val="Normal"/>
    <w:next w:val="Normal"/>
    <w:semiHidden/>
    <w:rsid w:val="0080067A"/>
    <w:pPr>
      <w:tabs>
        <w:tab w:val="right" w:pos="4176"/>
      </w:tabs>
      <w:ind w:left="568" w:hanging="284"/>
    </w:pPr>
    <w:rPr>
      <w:rFonts w:ascii="Garamond" w:hAnsi="Garamond"/>
    </w:rPr>
  </w:style>
  <w:style w:type="paragraph" w:customStyle="1" w:styleId="Byline">
    <w:name w:val="Byline"/>
    <w:rsid w:val="00800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67A"/>
    <w:pPr>
      <w:tabs>
        <w:tab w:val="clear" w:pos="3600"/>
        <w:tab w:val="clear" w:pos="3958"/>
      </w:tabs>
      <w:jc w:val="right"/>
    </w:pPr>
  </w:style>
  <w:style w:type="character" w:styleId="Emphasis">
    <w:name w:val="Emphasis"/>
    <w:basedOn w:val="DefaultParagraphFont"/>
    <w:qFormat/>
    <w:rsid w:val="0080067A"/>
    <w:rPr>
      <w:i/>
    </w:rPr>
  </w:style>
  <w:style w:type="paragraph" w:styleId="Caption">
    <w:name w:val="caption"/>
    <w:basedOn w:val="BodyText"/>
    <w:next w:val="Normal"/>
    <w:qFormat/>
    <w:rsid w:val="0080067A"/>
    <w:pPr>
      <w:framePr w:w="2268" w:hSpace="181" w:vSpace="181" w:wrap="around" w:vAnchor="text" w:hAnchor="page" w:x="1135" w:y="285" w:anchorLock="1"/>
    </w:pPr>
    <w:rPr>
      <w:i/>
    </w:rPr>
  </w:style>
  <w:style w:type="paragraph" w:customStyle="1" w:styleId="MiniTOCTitle">
    <w:name w:val="MiniTOCTitle"/>
    <w:basedOn w:val="Heading4"/>
    <w:rsid w:val="0080067A"/>
    <w:pPr>
      <w:spacing w:before="240"/>
      <w:outlineLvl w:val="9"/>
    </w:pPr>
    <w:rPr>
      <w:noProof/>
      <w:sz w:val="24"/>
    </w:rPr>
  </w:style>
  <w:style w:type="paragraph" w:customStyle="1" w:styleId="MiniTOCItem">
    <w:name w:val="MiniTOCItem"/>
    <w:basedOn w:val="ListBullet"/>
    <w:rsid w:val="0080067A"/>
    <w:pPr>
      <w:numPr>
        <w:numId w:val="0"/>
      </w:numPr>
      <w:tabs>
        <w:tab w:val="right" w:leader="dot" w:pos="6521"/>
      </w:tabs>
      <w:spacing w:before="0" w:after="0"/>
    </w:pPr>
  </w:style>
  <w:style w:type="paragraph" w:customStyle="1" w:styleId="TOFTitle">
    <w:name w:val="TOFTitle"/>
    <w:basedOn w:val="TOCTitle"/>
    <w:rsid w:val="0080067A"/>
  </w:style>
  <w:style w:type="paragraph" w:styleId="TableofFigures">
    <w:name w:val="table of figures"/>
    <w:basedOn w:val="Normal"/>
    <w:next w:val="Normal"/>
    <w:semiHidden/>
    <w:rsid w:val="0080067A"/>
    <w:pPr>
      <w:tabs>
        <w:tab w:val="right" w:leader="dot" w:pos="9072"/>
      </w:tabs>
      <w:ind w:left="970" w:hanging="403"/>
    </w:pPr>
    <w:rPr>
      <w:rFonts w:ascii="Times New Roman" w:hAnsi="Times New Roman"/>
      <w:b/>
    </w:rPr>
  </w:style>
  <w:style w:type="paragraph" w:styleId="ListNumber">
    <w:name w:val="List Number"/>
    <w:basedOn w:val="List"/>
    <w:rsid w:val="0080067A"/>
    <w:pPr>
      <w:numPr>
        <w:numId w:val="16"/>
      </w:numPr>
      <w:tabs>
        <w:tab w:val="clear" w:pos="340"/>
      </w:tabs>
    </w:pPr>
  </w:style>
  <w:style w:type="character" w:customStyle="1" w:styleId="WingdingSymbols">
    <w:name w:val="Wingding Symbols"/>
    <w:rsid w:val="0080067A"/>
    <w:rPr>
      <w:rFonts w:ascii="Wingdings" w:hAnsi="Wingdings"/>
    </w:rPr>
  </w:style>
  <w:style w:type="paragraph" w:customStyle="1" w:styleId="TableHeading">
    <w:name w:val="Table Heading"/>
    <w:basedOn w:val="HeadingBase"/>
    <w:rsid w:val="0080067A"/>
    <w:pPr>
      <w:keepLines/>
      <w:pBdr>
        <w:bottom w:val="single" w:sz="6" w:space="1" w:color="918585"/>
      </w:pBdr>
      <w:spacing w:before="240"/>
    </w:pPr>
  </w:style>
  <w:style w:type="character" w:customStyle="1" w:styleId="HotSpot">
    <w:name w:val="HotSpot"/>
    <w:rsid w:val="0080067A"/>
    <w:rPr>
      <w:color w:val="0033CC"/>
      <w:u w:val="none"/>
    </w:rPr>
  </w:style>
  <w:style w:type="paragraph" w:customStyle="1" w:styleId="BodyTextRight">
    <w:name w:val="Body Text Right"/>
    <w:basedOn w:val="BodyText"/>
    <w:rsid w:val="0080067A"/>
    <w:pPr>
      <w:spacing w:before="0" w:after="0"/>
      <w:jc w:val="right"/>
    </w:pPr>
  </w:style>
  <w:style w:type="paragraph" w:styleId="Index3">
    <w:name w:val="index 3"/>
    <w:basedOn w:val="ListNumber2"/>
    <w:next w:val="Normal"/>
    <w:semiHidden/>
    <w:rsid w:val="0080067A"/>
    <w:pPr>
      <w:numPr>
        <w:numId w:val="0"/>
      </w:numPr>
      <w:tabs>
        <w:tab w:val="right" w:leader="dot" w:pos="4176"/>
      </w:tabs>
    </w:pPr>
  </w:style>
  <w:style w:type="paragraph" w:styleId="ListNumber2">
    <w:name w:val="List Number 2"/>
    <w:basedOn w:val="List2"/>
    <w:rsid w:val="0080067A"/>
    <w:pPr>
      <w:numPr>
        <w:numId w:val="11"/>
      </w:numPr>
      <w:tabs>
        <w:tab w:val="clear" w:pos="1060"/>
      </w:tabs>
    </w:pPr>
  </w:style>
  <w:style w:type="paragraph" w:customStyle="1" w:styleId="MarginNote">
    <w:name w:val="Margin Note"/>
    <w:basedOn w:val="BodyText"/>
    <w:rsid w:val="00800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67A"/>
    <w:rPr>
      <w:sz w:val="32"/>
    </w:rPr>
  </w:style>
  <w:style w:type="paragraph" w:customStyle="1" w:styleId="HeadingProcedure">
    <w:name w:val="Heading Procedure"/>
    <w:basedOn w:val="HeadingBase"/>
    <w:next w:val="Normal"/>
    <w:rsid w:val="0080067A"/>
    <w:pPr>
      <w:tabs>
        <w:tab w:val="left" w:pos="0"/>
      </w:tabs>
      <w:spacing w:before="120" w:after="60"/>
    </w:pPr>
    <w:rPr>
      <w:i/>
      <w:color w:val="918585"/>
      <w:sz w:val="22"/>
    </w:rPr>
  </w:style>
  <w:style w:type="paragraph" w:customStyle="1" w:styleId="TableBodyText">
    <w:name w:val="Table Body Text"/>
    <w:basedOn w:val="BodyText"/>
    <w:rsid w:val="0080067A"/>
    <w:pPr>
      <w:spacing w:before="60" w:after="60"/>
    </w:pPr>
  </w:style>
  <w:style w:type="paragraph" w:styleId="ListContinue">
    <w:name w:val="List Continue"/>
    <w:basedOn w:val="List"/>
    <w:rsid w:val="0080067A"/>
    <w:pPr>
      <w:ind w:firstLine="0"/>
    </w:pPr>
  </w:style>
  <w:style w:type="paragraph" w:customStyle="1" w:styleId="ListNote">
    <w:name w:val="List Note"/>
    <w:basedOn w:val="List"/>
    <w:rsid w:val="0080067A"/>
    <w:pPr>
      <w:pBdr>
        <w:top w:val="single" w:sz="6" w:space="2" w:color="918585"/>
        <w:bottom w:val="single" w:sz="6" w:space="2" w:color="918585"/>
      </w:pBdr>
      <w:tabs>
        <w:tab w:val="left" w:pos="1021"/>
      </w:tabs>
      <w:ind w:firstLine="0"/>
    </w:pPr>
  </w:style>
  <w:style w:type="paragraph" w:customStyle="1" w:styleId="Warning">
    <w:name w:val="Warning"/>
    <w:basedOn w:val="BodyText"/>
    <w:rsid w:val="0080067A"/>
    <w:pPr>
      <w:shd w:val="clear" w:color="auto" w:fill="D9D9D9"/>
      <w:tabs>
        <w:tab w:val="left" w:pos="992"/>
      </w:tabs>
      <w:ind w:left="119" w:right="119"/>
    </w:pPr>
    <w:rPr>
      <w:sz w:val="20"/>
    </w:rPr>
  </w:style>
  <w:style w:type="paragraph" w:customStyle="1" w:styleId="MarginIcons">
    <w:name w:val="Margin Icons"/>
    <w:basedOn w:val="BodyText"/>
    <w:rsid w:val="00800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67A"/>
    <w:rPr>
      <w:rFonts w:ascii="Courier New" w:hAnsi="Courier New"/>
    </w:rPr>
  </w:style>
  <w:style w:type="paragraph" w:customStyle="1" w:styleId="NoteBullet">
    <w:name w:val="Note Bullet"/>
    <w:basedOn w:val="Note"/>
    <w:rsid w:val="0080067A"/>
    <w:pPr>
      <w:tabs>
        <w:tab w:val="clear" w:pos="680"/>
      </w:tabs>
      <w:spacing w:before="60" w:after="60"/>
    </w:pPr>
  </w:style>
  <w:style w:type="paragraph" w:customStyle="1" w:styleId="SubHeading2">
    <w:name w:val="SubHeading2"/>
    <w:basedOn w:val="HeadingBase"/>
    <w:rsid w:val="0080067A"/>
    <w:pPr>
      <w:spacing w:before="240" w:after="60"/>
    </w:pPr>
    <w:rPr>
      <w:sz w:val="20"/>
    </w:rPr>
  </w:style>
  <w:style w:type="paragraph" w:customStyle="1" w:styleId="SubHeading1">
    <w:name w:val="SubHeading1"/>
    <w:basedOn w:val="HeadingBase"/>
    <w:rsid w:val="0080067A"/>
    <w:pPr>
      <w:spacing w:before="240" w:after="60"/>
    </w:pPr>
    <w:rPr>
      <w:color w:val="918585"/>
      <w:sz w:val="22"/>
    </w:rPr>
  </w:style>
  <w:style w:type="paragraph" w:customStyle="1" w:styleId="SideHeading">
    <w:name w:val="Side Heading"/>
    <w:basedOn w:val="HeadingBase"/>
    <w:rsid w:val="00800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67A"/>
    <w:pPr>
      <w:numPr>
        <w:numId w:val="12"/>
      </w:numPr>
    </w:pPr>
  </w:style>
  <w:style w:type="paragraph" w:styleId="PlainText">
    <w:name w:val="Plain Text"/>
    <w:basedOn w:val="Normal"/>
    <w:link w:val="PlainTextChar"/>
    <w:rsid w:val="0080067A"/>
    <w:rPr>
      <w:sz w:val="20"/>
    </w:rPr>
  </w:style>
  <w:style w:type="character" w:customStyle="1" w:styleId="PlainTextChar">
    <w:name w:val="Plain Text Char"/>
    <w:basedOn w:val="DefaultParagraphFont"/>
    <w:link w:val="PlainText"/>
    <w:rsid w:val="0080067A"/>
    <w:rPr>
      <w:rFonts w:ascii="Courier New" w:eastAsia="Times New Roman" w:hAnsi="Courier New" w:cs="Times New Roman"/>
      <w:sz w:val="20"/>
      <w:szCs w:val="20"/>
      <w:lang w:eastAsia="en-US"/>
    </w:rPr>
  </w:style>
  <w:style w:type="character" w:customStyle="1" w:styleId="MenuOption">
    <w:name w:val="Menu Option"/>
    <w:basedOn w:val="DefaultParagraphFont"/>
    <w:rsid w:val="0080067A"/>
    <w:rPr>
      <w:b/>
      <w:smallCaps/>
    </w:rPr>
  </w:style>
  <w:style w:type="paragraph" w:customStyle="1" w:styleId="TableListNumber">
    <w:name w:val="Table List Number"/>
    <w:basedOn w:val="ListNumber"/>
    <w:rsid w:val="0080067A"/>
    <w:pPr>
      <w:numPr>
        <w:numId w:val="0"/>
      </w:numPr>
    </w:pPr>
  </w:style>
  <w:style w:type="paragraph" w:styleId="TOC4">
    <w:name w:val="toc 4"/>
    <w:basedOn w:val="TOCBase"/>
    <w:next w:val="Normal"/>
    <w:semiHidden/>
    <w:rsid w:val="0080067A"/>
    <w:pPr>
      <w:tabs>
        <w:tab w:val="right" w:leader="dot" w:pos="9071"/>
      </w:tabs>
      <w:ind w:left="1701"/>
    </w:pPr>
  </w:style>
  <w:style w:type="paragraph" w:customStyle="1" w:styleId="ListAlpha">
    <w:name w:val="List Alpha"/>
    <w:basedOn w:val="List"/>
    <w:rsid w:val="0080067A"/>
    <w:pPr>
      <w:numPr>
        <w:numId w:val="10"/>
      </w:numPr>
    </w:pPr>
  </w:style>
  <w:style w:type="paragraph" w:customStyle="1" w:styleId="ListAlpha2">
    <w:name w:val="List Alpha 2"/>
    <w:basedOn w:val="List2"/>
    <w:rsid w:val="0080067A"/>
    <w:pPr>
      <w:numPr>
        <w:numId w:val="9"/>
      </w:numPr>
    </w:pPr>
  </w:style>
  <w:style w:type="paragraph" w:styleId="List2">
    <w:name w:val="List 2"/>
    <w:basedOn w:val="BodyText"/>
    <w:rsid w:val="0080067A"/>
    <w:pPr>
      <w:tabs>
        <w:tab w:val="left" w:pos="680"/>
      </w:tabs>
      <w:spacing w:before="60" w:after="60"/>
      <w:ind w:left="680" w:hanging="340"/>
    </w:pPr>
  </w:style>
  <w:style w:type="paragraph" w:styleId="List3">
    <w:name w:val="List 3"/>
    <w:basedOn w:val="BodyText"/>
    <w:rsid w:val="0080067A"/>
    <w:pPr>
      <w:tabs>
        <w:tab w:val="left" w:pos="1021"/>
      </w:tabs>
      <w:spacing w:before="60" w:after="60"/>
      <w:ind w:left="1020" w:hanging="340"/>
    </w:pPr>
  </w:style>
  <w:style w:type="paragraph" w:styleId="List4">
    <w:name w:val="List 4"/>
    <w:basedOn w:val="BodyText"/>
    <w:rsid w:val="0080067A"/>
    <w:pPr>
      <w:tabs>
        <w:tab w:val="left" w:pos="1361"/>
      </w:tabs>
      <w:spacing w:before="60" w:after="60"/>
      <w:ind w:left="1361" w:hanging="340"/>
    </w:pPr>
  </w:style>
  <w:style w:type="paragraph" w:styleId="List5">
    <w:name w:val="List 5"/>
    <w:basedOn w:val="BodyText"/>
    <w:rsid w:val="0080067A"/>
    <w:pPr>
      <w:tabs>
        <w:tab w:val="left" w:pos="1701"/>
      </w:tabs>
      <w:spacing w:before="60" w:after="60"/>
      <w:ind w:left="1701" w:hanging="340"/>
    </w:pPr>
  </w:style>
  <w:style w:type="paragraph" w:styleId="ListBullet4">
    <w:name w:val="List Bullet 4"/>
    <w:basedOn w:val="List4"/>
    <w:rsid w:val="0080067A"/>
    <w:pPr>
      <w:numPr>
        <w:numId w:val="4"/>
      </w:numPr>
      <w:tabs>
        <w:tab w:val="clear" w:pos="1361"/>
      </w:tabs>
    </w:pPr>
  </w:style>
  <w:style w:type="paragraph" w:styleId="ListBullet5">
    <w:name w:val="List Bullet 5"/>
    <w:basedOn w:val="List5"/>
    <w:rsid w:val="0080067A"/>
    <w:pPr>
      <w:numPr>
        <w:numId w:val="5"/>
      </w:numPr>
    </w:pPr>
  </w:style>
  <w:style w:type="paragraph" w:styleId="ListContinue2">
    <w:name w:val="List Continue 2"/>
    <w:basedOn w:val="List2"/>
    <w:rsid w:val="0080067A"/>
    <w:pPr>
      <w:ind w:firstLine="0"/>
    </w:pPr>
  </w:style>
  <w:style w:type="paragraph" w:styleId="ListContinue3">
    <w:name w:val="List Continue 3"/>
    <w:basedOn w:val="List3"/>
    <w:rsid w:val="0080067A"/>
    <w:pPr>
      <w:ind w:left="1021" w:firstLine="0"/>
    </w:pPr>
  </w:style>
  <w:style w:type="paragraph" w:styleId="ListContinue4">
    <w:name w:val="List Continue 4"/>
    <w:basedOn w:val="List4"/>
    <w:rsid w:val="0080067A"/>
    <w:pPr>
      <w:ind w:firstLine="0"/>
    </w:pPr>
  </w:style>
  <w:style w:type="paragraph" w:styleId="ListContinue5">
    <w:name w:val="List Continue 5"/>
    <w:basedOn w:val="List5"/>
    <w:rsid w:val="0080067A"/>
    <w:pPr>
      <w:ind w:firstLine="0"/>
    </w:pPr>
  </w:style>
  <w:style w:type="paragraph" w:styleId="ListNumber3">
    <w:name w:val="List Number 3"/>
    <w:basedOn w:val="List3"/>
    <w:rsid w:val="0080067A"/>
    <w:pPr>
      <w:numPr>
        <w:numId w:val="6"/>
      </w:numPr>
    </w:pPr>
  </w:style>
  <w:style w:type="paragraph" w:styleId="ListNumber4">
    <w:name w:val="List Number 4"/>
    <w:basedOn w:val="List4"/>
    <w:rsid w:val="0080067A"/>
    <w:pPr>
      <w:numPr>
        <w:numId w:val="7"/>
      </w:numPr>
    </w:pPr>
  </w:style>
  <w:style w:type="paragraph" w:styleId="ListNumber5">
    <w:name w:val="List Number 5"/>
    <w:basedOn w:val="List5"/>
    <w:rsid w:val="0080067A"/>
    <w:pPr>
      <w:numPr>
        <w:numId w:val="8"/>
      </w:numPr>
    </w:pPr>
  </w:style>
  <w:style w:type="paragraph" w:styleId="BlockText">
    <w:name w:val="Block Text"/>
    <w:basedOn w:val="Normal"/>
    <w:rsid w:val="0080067A"/>
    <w:pPr>
      <w:spacing w:after="120"/>
      <w:ind w:left="1440" w:right="1440"/>
    </w:pPr>
  </w:style>
  <w:style w:type="character" w:customStyle="1" w:styleId="Subscript">
    <w:name w:val="Subscript"/>
    <w:basedOn w:val="DefaultParagraphFont"/>
    <w:rsid w:val="0080067A"/>
    <w:rPr>
      <w:sz w:val="16"/>
      <w:vertAlign w:val="subscript"/>
    </w:rPr>
  </w:style>
  <w:style w:type="character" w:customStyle="1" w:styleId="Superscript">
    <w:name w:val="Superscript"/>
    <w:basedOn w:val="DefaultParagraphFont"/>
    <w:rsid w:val="0080067A"/>
    <w:rPr>
      <w:sz w:val="16"/>
      <w:vertAlign w:val="superscript"/>
    </w:rPr>
  </w:style>
  <w:style w:type="character" w:customStyle="1" w:styleId="Symbols">
    <w:name w:val="Symbols"/>
    <w:basedOn w:val="DefaultParagraphFont"/>
    <w:rsid w:val="0080067A"/>
    <w:rPr>
      <w:rFonts w:ascii="Symbol" w:hAnsi="Symbol"/>
    </w:rPr>
  </w:style>
  <w:style w:type="character" w:customStyle="1" w:styleId="MenuOptions">
    <w:name w:val="Menu Options"/>
    <w:basedOn w:val="DefaultParagraphFont"/>
    <w:rsid w:val="0080067A"/>
    <w:rPr>
      <w:rFonts w:ascii="Arial Narrow" w:hAnsi="Arial Narrow"/>
      <w:smallCaps/>
    </w:rPr>
  </w:style>
  <w:style w:type="character" w:customStyle="1" w:styleId="Buttons">
    <w:name w:val="Buttons"/>
    <w:basedOn w:val="DefaultParagraphFont"/>
    <w:rsid w:val="0080067A"/>
    <w:rPr>
      <w:b/>
    </w:rPr>
  </w:style>
  <w:style w:type="character" w:customStyle="1" w:styleId="Underlined">
    <w:name w:val="Underlined"/>
    <w:basedOn w:val="DefaultParagraphFont"/>
    <w:rsid w:val="0080067A"/>
    <w:rPr>
      <w:u w:val="single"/>
    </w:rPr>
  </w:style>
  <w:style w:type="paragraph" w:customStyle="1" w:styleId="TableBodyTextRight">
    <w:name w:val="Table Body Text Right"/>
    <w:basedOn w:val="TableBodyText"/>
    <w:rsid w:val="0080067A"/>
    <w:pPr>
      <w:widowControl w:val="0"/>
      <w:autoSpaceDE w:val="0"/>
      <w:autoSpaceDN w:val="0"/>
      <w:adjustRightInd w:val="0"/>
      <w:jc w:val="right"/>
    </w:pPr>
    <w:rPr>
      <w:rFonts w:cs="Arial"/>
      <w:szCs w:val="18"/>
    </w:rPr>
  </w:style>
  <w:style w:type="paragraph" w:customStyle="1" w:styleId="CopyrightText">
    <w:name w:val="Copyright Text"/>
    <w:basedOn w:val="BodyText"/>
    <w:rsid w:val="0080067A"/>
    <w:rPr>
      <w:sz w:val="18"/>
    </w:rPr>
  </w:style>
  <w:style w:type="paragraph" w:customStyle="1" w:styleId="BodySmallRight">
    <w:name w:val="Body Small Right"/>
    <w:basedOn w:val="BodyTextRight"/>
    <w:rsid w:val="0080067A"/>
    <w:rPr>
      <w:sz w:val="18"/>
      <w:szCs w:val="18"/>
    </w:rPr>
  </w:style>
  <w:style w:type="paragraph" w:customStyle="1" w:styleId="MarginEdition">
    <w:name w:val="Margin Edition"/>
    <w:basedOn w:val="MarginNote"/>
    <w:rsid w:val="0080067A"/>
    <w:pPr>
      <w:spacing w:before="0" w:after="0"/>
    </w:pPr>
    <w:rPr>
      <w:rFonts w:ascii="Times New Roman" w:hAnsi="Times New Roman"/>
      <w:color w:val="999999"/>
    </w:rPr>
  </w:style>
  <w:style w:type="paragraph" w:customStyle="1" w:styleId="Spacer">
    <w:name w:val="Spacer"/>
    <w:basedOn w:val="Normal"/>
    <w:rsid w:val="0080067A"/>
    <w:rPr>
      <w:sz w:val="2"/>
      <w:szCs w:val="2"/>
    </w:rPr>
  </w:style>
  <w:style w:type="character" w:customStyle="1" w:styleId="Small">
    <w:name w:val="Small"/>
    <w:basedOn w:val="DefaultParagraphFont"/>
    <w:rsid w:val="0080067A"/>
    <w:rPr>
      <w:sz w:val="16"/>
    </w:rPr>
  </w:style>
  <w:style w:type="paragraph" w:customStyle="1" w:styleId="WideTable">
    <w:name w:val="Wide Table"/>
    <w:basedOn w:val="Normal"/>
    <w:rsid w:val="0080067A"/>
    <w:pPr>
      <w:ind w:left="-1418"/>
    </w:pPr>
    <w:rPr>
      <w:sz w:val="2"/>
      <w:szCs w:val="2"/>
    </w:rPr>
  </w:style>
  <w:style w:type="character" w:styleId="PageNumber">
    <w:name w:val="page number"/>
    <w:basedOn w:val="DefaultParagraphFont"/>
    <w:rsid w:val="0080067A"/>
  </w:style>
  <w:style w:type="paragraph" w:styleId="Quote">
    <w:name w:val="Quote"/>
    <w:basedOn w:val="Heading1"/>
    <w:link w:val="QuoteChar"/>
    <w:qFormat/>
    <w:rsid w:val="0080067A"/>
    <w:rPr>
      <w:b w:val="0"/>
      <w:sz w:val="72"/>
      <w:szCs w:val="72"/>
      <w:lang w:val="en-NZ"/>
    </w:rPr>
  </w:style>
  <w:style w:type="character" w:customStyle="1" w:styleId="QuoteChar">
    <w:name w:val="Quote Char"/>
    <w:basedOn w:val="DefaultParagraphFont"/>
    <w:link w:val="Quote"/>
    <w:rsid w:val="00800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67A"/>
    <w:pPr>
      <w:pageBreakBefore/>
    </w:pPr>
  </w:style>
  <w:style w:type="paragraph" w:customStyle="1" w:styleId="Border">
    <w:name w:val="Border"/>
    <w:basedOn w:val="Normal"/>
    <w:qFormat/>
    <w:rsid w:val="00800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67A"/>
    <w:rPr>
      <w:b/>
      <w:bCs/>
      <w:i/>
      <w:iCs/>
      <w:color w:val="auto"/>
    </w:rPr>
  </w:style>
  <w:style w:type="paragraph" w:styleId="IntenseQuote">
    <w:name w:val="Intense Quote"/>
    <w:basedOn w:val="Normal"/>
    <w:next w:val="Normal"/>
    <w:link w:val="IntenseQuoteChar"/>
    <w:uiPriority w:val="30"/>
    <w:qFormat/>
    <w:rsid w:val="00800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67A"/>
    <w:rPr>
      <w:smallCaps/>
      <w:color w:val="auto"/>
      <w:u w:val="single"/>
    </w:rPr>
  </w:style>
  <w:style w:type="character" w:styleId="IntenseReference">
    <w:name w:val="Intense Reference"/>
    <w:basedOn w:val="DefaultParagraphFont"/>
    <w:uiPriority w:val="32"/>
    <w:qFormat/>
    <w:rsid w:val="0080067A"/>
    <w:rPr>
      <w:b/>
      <w:bCs/>
      <w:smallCaps/>
      <w:color w:val="auto"/>
      <w:spacing w:val="5"/>
      <w:u w:val="single"/>
    </w:rPr>
  </w:style>
  <w:style w:type="paragraph" w:customStyle="1" w:styleId="2ColumnHeading">
    <w:name w:val="2Column Heading"/>
    <w:basedOn w:val="BodyText"/>
    <w:qFormat/>
    <w:rsid w:val="0080067A"/>
    <w:pPr>
      <w:spacing w:after="60"/>
      <w:ind w:left="-2268"/>
    </w:pPr>
    <w:rPr>
      <w:b/>
    </w:rPr>
  </w:style>
  <w:style w:type="paragraph" w:customStyle="1" w:styleId="Heading1TOC">
    <w:name w:val="Heading1 TOC"/>
    <w:basedOn w:val="Normal"/>
    <w:qFormat/>
    <w:rsid w:val="0080067A"/>
    <w:pPr>
      <w:spacing w:before="240" w:after="120"/>
    </w:pPr>
    <w:rPr>
      <w:rFonts w:ascii="Times New Roman" w:hAnsi="Times New Roman"/>
      <w:b/>
      <w:sz w:val="32"/>
    </w:rPr>
  </w:style>
  <w:style w:type="paragraph" w:customStyle="1" w:styleId="Heading2TOC">
    <w:name w:val="Heading2 TOC"/>
    <w:basedOn w:val="Normal"/>
    <w:qFormat/>
    <w:rsid w:val="0080067A"/>
    <w:pPr>
      <w:spacing w:before="240" w:after="60"/>
    </w:pPr>
    <w:rPr>
      <w:rFonts w:ascii="Times New Roman" w:hAnsi="Times New Roman"/>
      <w:b/>
      <w:sz w:val="28"/>
    </w:rPr>
  </w:style>
  <w:style w:type="character" w:customStyle="1" w:styleId="Underline">
    <w:name w:val="Underline"/>
    <w:basedOn w:val="DefaultParagraphFont"/>
    <w:qFormat/>
    <w:rsid w:val="0080067A"/>
    <w:rPr>
      <w:u w:val="single"/>
    </w:rPr>
  </w:style>
  <w:style w:type="character" w:customStyle="1" w:styleId="BoldandItalics">
    <w:name w:val="Bold and Italics"/>
    <w:qFormat/>
    <w:rsid w:val="0080067A"/>
    <w:rPr>
      <w:b/>
      <w:i/>
      <w:u w:val="none"/>
    </w:rPr>
  </w:style>
  <w:style w:type="paragraph" w:styleId="BalloonText">
    <w:name w:val="Balloon Text"/>
    <w:basedOn w:val="Normal"/>
    <w:link w:val="BalloonTextChar"/>
    <w:rsid w:val="0080067A"/>
    <w:rPr>
      <w:rFonts w:ascii="Tahoma" w:hAnsi="Tahoma" w:cs="Tahoma"/>
      <w:sz w:val="16"/>
      <w:szCs w:val="16"/>
    </w:rPr>
  </w:style>
  <w:style w:type="character" w:customStyle="1" w:styleId="BalloonTextChar">
    <w:name w:val="Balloon Text Char"/>
    <w:basedOn w:val="DefaultParagraphFont"/>
    <w:link w:val="BalloonText"/>
    <w:rsid w:val="00800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6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67A"/>
    <w:rPr>
      <w:b/>
      <w:color w:val="660033"/>
      <w:spacing w:val="0"/>
    </w:rPr>
  </w:style>
  <w:style w:type="paragraph" w:customStyle="1" w:styleId="Nameditemlist">
    <w:name w:val="Named item list"/>
    <w:basedOn w:val="BodyText"/>
    <w:qFormat/>
    <w:rsid w:val="0080067A"/>
    <w:pPr>
      <w:tabs>
        <w:tab w:val="left" w:pos="2835"/>
      </w:tabs>
      <w:ind w:left="2835" w:hanging="2835"/>
    </w:pPr>
  </w:style>
  <w:style w:type="paragraph" w:customStyle="1" w:styleId="BodyTextnopadding">
    <w:name w:val="Body Text no padding"/>
    <w:basedOn w:val="BodyText"/>
    <w:qFormat/>
    <w:rsid w:val="0080067A"/>
    <w:pPr>
      <w:spacing w:before="0" w:after="0"/>
    </w:pPr>
  </w:style>
  <w:style w:type="paragraph" w:customStyle="1" w:styleId="BodyTextBold">
    <w:name w:val="Body Text Bold"/>
    <w:basedOn w:val="BodyText"/>
    <w:qFormat/>
    <w:rsid w:val="0080067A"/>
    <w:rPr>
      <w:b/>
    </w:rPr>
  </w:style>
  <w:style w:type="character" w:styleId="Hyperlink">
    <w:name w:val="Hyperlink"/>
    <w:basedOn w:val="DefaultParagraphFont"/>
    <w:uiPriority w:val="99"/>
    <w:unhideWhenUsed/>
    <w:rsid w:val="00016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9342</Characters>
  <Application>Microsoft Office Word</Application>
  <DocSecurity>0</DocSecurity>
  <Lines>301</Lines>
  <Paragraphs>165</Paragraphs>
  <ScaleCrop>false</ScaleCrop>
  <Company>Author-it Software Corporation Ltd.</Company>
  <LinksUpToDate>false</LinksUpToDate>
  <CharactersWithSpaces>10600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UEEEC0041 Install fire detection and warning system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