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481" w:rsidP="00472481">
      <w:pPr>
        <w:pStyle w:val="Title"/>
      </w:pPr>
      <w:r>
        <w:fldChar w:fldCharType="begin"/>
      </w:r>
      <w:r>
        <w:instrText xml:space="preserve"> TITLE   \* MERGEFORMAT </w:instrText>
      </w:r>
      <w:r>
        <w:fldChar w:fldCharType="separate"/>
      </w:r>
      <w:r>
        <w:t>Assessment Requirements for UEEEC0036 Fault find and repair sonar apparatus and systems</w:t>
      </w:r>
      <w:r>
        <w:fldChar w:fldCharType="end"/>
      </w:r>
    </w:p>
    <w:p w:rsidR="00472481" w:rsidP="00472481">
      <w:pPr>
        <w:pStyle w:val="Version"/>
        <w:sectPr w:rsidSect="00295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562" w:rsidP="00295562">
      <w:pPr>
        <w:pStyle w:val="SuperHeading"/>
      </w:pPr>
      <w:r w:rsidRPr="00295562">
        <w:t>Assessment Requirements for UEEEC0036 Fault find and repair sonar apparatus and systems</w:t>
      </w:r>
    </w:p>
    <w:p w:rsidR="00000000" w:rsidRPr="00295562" w:rsidP="00295562">
      <w:pPr>
        <w:pStyle w:val="Heading1"/>
      </w:pPr>
      <w:bookmarkStart w:id="1" w:name="O_1080265"/>
      <w:bookmarkEnd w:id="1"/>
      <w:r w:rsidRPr="00295562">
        <w:t>Modification History</w:t>
      </w:r>
    </w:p>
    <w:tbl>
      <w:tblPr>
        <w:tblW w:w="9497" w:type="dxa"/>
        <w:tblLayout w:type="fixed"/>
        <w:tblCellMar>
          <w:left w:w="62" w:type="dxa"/>
          <w:right w:w="62" w:type="dxa"/>
        </w:tblCellMar>
        <w:tblLook w:val="0000"/>
      </w:tblPr>
      <w:tblGrid>
        <w:gridCol w:w="9497"/>
      </w:tblGrid>
      <w:tr w:rsidTr="00295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5562" w:rsidP="00295562">
            <w:pPr>
              <w:pStyle w:val="BodyText"/>
            </w:pPr>
            <w:r w:rsidRPr="00295562">
              <w:t>Release 1. This is the first release of this unit of competency in the UEE Electrotechnology Training Package.</w:t>
            </w:r>
          </w:p>
        </w:tc>
      </w:tr>
    </w:tbl>
    <w:p w:rsidR="00000000" w:rsidRPr="00295562" w:rsidP="00295562">
      <w:pPr>
        <w:pStyle w:val="NoPaddingFontSize1"/>
      </w:pPr>
    </w:p>
    <w:p w:rsidR="00000000" w:rsidRPr="00295562" w:rsidP="00295562">
      <w:pPr>
        <w:pStyle w:val="AllowPageBreak"/>
      </w:pPr>
    </w:p>
    <w:p w:rsidR="00000000" w:rsidRPr="00295562" w:rsidP="00295562">
      <w:pPr>
        <w:pStyle w:val="Heading1"/>
      </w:pPr>
      <w:bookmarkStart w:id="2" w:name="O_1080266"/>
      <w:bookmarkEnd w:id="2"/>
      <w:r w:rsidRPr="00295562">
        <w:t>Performance Evidence</w:t>
      </w:r>
    </w:p>
    <w:tbl>
      <w:tblPr>
        <w:tblW w:w="9497" w:type="dxa"/>
        <w:tblLayout w:type="fixed"/>
        <w:tblCellMar>
          <w:left w:w="62" w:type="dxa"/>
          <w:right w:w="62" w:type="dxa"/>
        </w:tblCellMar>
        <w:tblLook w:val="0000"/>
      </w:tblPr>
      <w:tblGrid>
        <w:gridCol w:w="9497"/>
      </w:tblGrid>
      <w:tr w:rsidTr="00295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5562">
            <w:pPr>
              <w:pStyle w:val="BodyText"/>
              <w:rPr>
                <w:lang w:val="en-NZ"/>
              </w:rPr>
            </w:pPr>
            <w:r w:rsidRPr="00295562">
              <w:t>Evidence required to demonstrate competence in this unit must be relevant to and satisfy all of the requirements of the elements, performance criteria and range of conditions on at least one occasion and include:</w:t>
            </w:r>
          </w:p>
        </w:tc>
      </w:tr>
      <w:tr w:rsidTr="00295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5562" w:rsidP="00295562">
            <w:pPr>
              <w:pStyle w:val="ListBullet"/>
            </w:pPr>
            <w:r w:rsidRPr="00295562">
              <w:t>applying lo</w:t>
            </w:r>
            <w:r w:rsidRPr="00295562">
              <w:t>gical diagnostic methods</w:t>
            </w:r>
          </w:p>
          <w:p w:rsidR="00000000" w:rsidRPr="00295562" w:rsidP="00295562">
            <w:pPr>
              <w:pStyle w:val="ListBullet"/>
            </w:pPr>
            <w:r w:rsidRPr="00295562">
              <w:t>using fault scenarios to test the source of system faults</w:t>
            </w:r>
          </w:p>
          <w:p w:rsidR="00000000" w:rsidRPr="00295562" w:rsidP="00295562">
            <w:pPr>
              <w:pStyle w:val="ListBullet"/>
            </w:pPr>
            <w:r w:rsidRPr="00295562">
              <w:t>identifying faults and competency needed to rectify them</w:t>
            </w:r>
          </w:p>
          <w:p w:rsidR="00000000" w:rsidRPr="00295562" w:rsidP="00295562">
            <w:pPr>
              <w:pStyle w:val="ListBullet"/>
            </w:pPr>
            <w:r w:rsidRPr="00295562">
              <w:t>rectifying faults in system electronics</w:t>
            </w:r>
          </w:p>
          <w:p w:rsidR="00000000" w:rsidRPr="00295562" w:rsidP="00295562">
            <w:pPr>
              <w:pStyle w:val="ListBullet"/>
            </w:pPr>
            <w:r w:rsidRPr="00295562">
              <w:t>verifying that the system operates correctly</w:t>
            </w:r>
          </w:p>
          <w:p w:rsidR="00000000" w:rsidRPr="00295562" w:rsidP="00295562">
            <w:pPr>
              <w:pStyle w:val="ListBullet"/>
            </w:pPr>
            <w:r w:rsidRPr="00295562">
              <w:t>documenting fault rectification</w:t>
            </w:r>
          </w:p>
          <w:p w:rsidR="00000000" w:rsidRPr="00295562" w:rsidP="00295562">
            <w:pPr>
              <w:pStyle w:val="ListBullet"/>
            </w:pPr>
            <w:r w:rsidRPr="00295562">
              <w:t>applying relevant risk identification, assessment, reporting and control requirements</w:t>
            </w:r>
          </w:p>
          <w:p w:rsidR="00000000" w:rsidRPr="00295562" w:rsidP="00295562">
            <w:pPr>
              <w:pStyle w:val="ListBullet"/>
            </w:pPr>
            <w:r w:rsidRPr="00295562">
              <w:t>applying relevant work health and safety (WHS)/occupational health and safety (OHS) requirements, including the use of risk control measures</w:t>
            </w:r>
          </w:p>
          <w:p w:rsidR="00000000" w:rsidRPr="00295562" w:rsidP="00295562">
            <w:pPr>
              <w:pStyle w:val="ListBullet"/>
            </w:pPr>
            <w:r w:rsidRPr="00295562">
              <w:t>applying sustainable energy principles and practices</w:t>
            </w:r>
          </w:p>
          <w:p w:rsidR="00000000" w:rsidRPr="00295562" w:rsidP="00295562">
            <w:pPr>
              <w:pStyle w:val="ListBullet"/>
            </w:pPr>
            <w:r w:rsidRPr="00295562">
              <w:t>coordinating work with relevant person/s</w:t>
            </w:r>
          </w:p>
          <w:p w:rsidR="00000000" w:rsidRPr="00295562" w:rsidP="00295562">
            <w:pPr>
              <w:pStyle w:val="ListBullet"/>
            </w:pPr>
            <w:r w:rsidRPr="00295562">
              <w:t>dealing effectively with unplanned events</w:t>
            </w:r>
          </w:p>
          <w:p w:rsidR="00000000" w:rsidRPr="00295562" w:rsidP="00295562">
            <w:pPr>
              <w:pStyle w:val="ListBullet"/>
            </w:pPr>
            <w:r w:rsidRPr="00295562">
              <w:t>determining live testing/measurement requirements</w:t>
            </w:r>
          </w:p>
          <w:p w:rsidR="00000000" w:rsidRPr="00295562" w:rsidP="00295562">
            <w:pPr>
              <w:pStyle w:val="ListBullet"/>
            </w:pPr>
            <w:r w:rsidRPr="00295562">
              <w:t>determining scope of work</w:t>
            </w:r>
          </w:p>
          <w:p w:rsidR="00000000" w:rsidRPr="00295562" w:rsidP="00295562">
            <w:pPr>
              <w:pStyle w:val="ListBullet"/>
            </w:pPr>
            <w:r w:rsidRPr="00295562">
              <w:t xml:space="preserve">identifying and accessing materials, tools, </w:t>
            </w:r>
            <w:r w:rsidRPr="00295562">
              <w:t>apparatus and testing devices</w:t>
            </w:r>
          </w:p>
          <w:p w:rsidR="00000000" w:rsidRPr="00295562" w:rsidP="00295562">
            <w:pPr>
              <w:pStyle w:val="ListBullet"/>
            </w:pPr>
            <w:r w:rsidRPr="00295562">
              <w:t>isolating circuits/machines/systems.</w:t>
            </w:r>
          </w:p>
        </w:tc>
      </w:tr>
    </w:tbl>
    <w:p w:rsidR="00000000" w:rsidRPr="00295562" w:rsidP="00295562">
      <w:pPr>
        <w:pStyle w:val="NoPaddingFontSize1"/>
      </w:pPr>
    </w:p>
    <w:p w:rsidR="00000000" w:rsidRPr="00295562" w:rsidP="00295562">
      <w:pPr>
        <w:pStyle w:val="AllowPageBreak"/>
      </w:pPr>
    </w:p>
    <w:p w:rsidR="00000000" w:rsidRPr="00295562" w:rsidP="00295562">
      <w:pPr>
        <w:pStyle w:val="Heading1"/>
      </w:pPr>
      <w:bookmarkStart w:id="3" w:name="O_1080267"/>
      <w:bookmarkEnd w:id="3"/>
      <w:r w:rsidRPr="00295562">
        <w:t>Knowledge Evidence</w:t>
      </w:r>
    </w:p>
    <w:tbl>
      <w:tblPr>
        <w:tblW w:w="9497" w:type="dxa"/>
        <w:tblLayout w:type="fixed"/>
        <w:tblCellMar>
          <w:left w:w="62" w:type="dxa"/>
          <w:right w:w="62" w:type="dxa"/>
        </w:tblCellMar>
        <w:tblLook w:val="0000"/>
      </w:tblPr>
      <w:tblGrid>
        <w:gridCol w:w="9497"/>
      </w:tblGrid>
      <w:tr w:rsidTr="00295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5562">
            <w:pPr>
              <w:pStyle w:val="BodyText"/>
              <w:rPr>
                <w:lang w:val="en-NZ"/>
              </w:rPr>
            </w:pPr>
            <w:r w:rsidRPr="00295562">
              <w:t>Evidence required to demonstrate competence in this unit must be relevant to and satisfy all of the requirements of the elements, performance criteri</w:t>
            </w:r>
            <w:r w:rsidRPr="00295562">
              <w:t>a and range of conditions and include knowledge of:</w:t>
            </w:r>
          </w:p>
        </w:tc>
      </w:tr>
      <w:tr w:rsidTr="00295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5562" w:rsidP="00295562">
            <w:pPr>
              <w:pStyle w:val="ListBullet"/>
            </w:pPr>
            <w:r w:rsidRPr="00295562">
              <w:t>sonar apparatus and system fault finding and repair, safe working practices and relevant standards codes and regulations, including:</w:t>
            </w:r>
          </w:p>
          <w:p w:rsidR="00000000" w:rsidRPr="00295562" w:rsidP="00295562">
            <w:pPr>
              <w:pStyle w:val="ListBullet2"/>
            </w:pPr>
            <w:r w:rsidRPr="00295562">
              <w:t>electronic communications, sonar system operating principles:</w:t>
            </w:r>
          </w:p>
          <w:p w:rsidR="00000000" w:rsidRPr="00295562" w:rsidP="00295562">
            <w:pPr>
              <w:pStyle w:val="ListBullet3"/>
            </w:pPr>
            <w:r w:rsidRPr="00295562">
              <w:t>the purpose and application of sonar systems</w:t>
            </w:r>
          </w:p>
          <w:p w:rsidR="00000000" w:rsidRPr="00295562" w:rsidP="00295562">
            <w:pPr>
              <w:pStyle w:val="ListBullet3"/>
            </w:pPr>
            <w:r w:rsidRPr="00295562">
              <w:t>sonar equipment encompassing:</w:t>
            </w:r>
          </w:p>
          <w:p w:rsidR="00000000" w:rsidRPr="00295562" w:rsidP="00295562">
            <w:pPr>
              <w:pStyle w:val="ListBullet4"/>
            </w:pPr>
            <w:r w:rsidRPr="00295562">
              <w:t>types and their applications</w:t>
            </w:r>
          </w:p>
          <w:p w:rsidR="00000000" w:rsidRPr="00295562" w:rsidP="00295562">
            <w:pPr>
              <w:pStyle w:val="ListBullet3"/>
            </w:pPr>
            <w:r w:rsidRPr="00295562">
              <w:t>sub-system components (i.e. functional blocks) and their function encompassing:</w:t>
            </w:r>
          </w:p>
          <w:p w:rsidR="00000000" w:rsidRPr="00295562" w:rsidP="00295562">
            <w:pPr>
              <w:pStyle w:val="ListBullet4"/>
            </w:pPr>
            <w:r w:rsidRPr="00295562">
              <w:t>transducer</w:t>
            </w:r>
          </w:p>
          <w:p w:rsidR="00000000" w:rsidRPr="00295562" w:rsidP="00295562">
            <w:pPr>
              <w:pStyle w:val="ListBullet4"/>
            </w:pPr>
            <w:r w:rsidRPr="00295562">
              <w:t>input amplifier</w:t>
            </w:r>
          </w:p>
          <w:p w:rsidR="00000000" w:rsidRPr="00295562" w:rsidP="00295562">
            <w:pPr>
              <w:pStyle w:val="ListBullet4"/>
            </w:pPr>
            <w:r w:rsidRPr="00295562">
              <w:t>sonar interface unit</w:t>
            </w:r>
          </w:p>
          <w:p w:rsidR="00000000" w:rsidRPr="00295562" w:rsidP="00295562">
            <w:pPr>
              <w:pStyle w:val="ListBullet4"/>
            </w:pPr>
            <w:r w:rsidRPr="00295562">
              <w:t>beam forming network (transmit/receive)</w:t>
            </w:r>
          </w:p>
          <w:p w:rsidR="00000000" w:rsidRPr="00295562" w:rsidP="00295562">
            <w:pPr>
              <w:pStyle w:val="ListBullet4"/>
            </w:pPr>
            <w:r w:rsidRPr="00295562">
              <w:t>signal processing</w:t>
            </w:r>
          </w:p>
          <w:p w:rsidR="00000000" w:rsidRPr="00295562" w:rsidP="00295562">
            <w:pPr>
              <w:pStyle w:val="ListBullet4"/>
            </w:pPr>
            <w:r w:rsidRPr="00295562">
              <w:t>own Doppler nullification</w:t>
            </w:r>
          </w:p>
          <w:p w:rsidR="00000000" w:rsidRPr="00295562" w:rsidP="00295562">
            <w:pPr>
              <w:pStyle w:val="ListBullet4"/>
            </w:pPr>
            <w:r w:rsidRPr="00295562">
              <w:t>display system</w:t>
            </w:r>
          </w:p>
          <w:p w:rsidR="00000000" w:rsidRPr="00295562" w:rsidP="00295562">
            <w:pPr>
              <w:pStyle w:val="ListBullet4"/>
            </w:pPr>
            <w:r w:rsidRPr="00295562">
              <w:t>headset</w:t>
            </w:r>
          </w:p>
          <w:p w:rsidR="00000000" w:rsidRPr="00295562" w:rsidP="00295562">
            <w:pPr>
              <w:pStyle w:val="ListBullet4"/>
            </w:pPr>
            <w:r w:rsidRPr="00295562">
              <w:t>interfaces</w:t>
            </w:r>
          </w:p>
          <w:p w:rsidR="00000000" w:rsidRPr="00295562" w:rsidP="00295562">
            <w:pPr>
              <w:pStyle w:val="ListBullet4"/>
            </w:pPr>
            <w:r w:rsidRPr="00295562">
              <w:t>transmitter</w:t>
            </w:r>
          </w:p>
          <w:p w:rsidR="00000000" w:rsidRPr="00295562" w:rsidP="00295562">
            <w:pPr>
              <w:pStyle w:val="ListBullet4"/>
            </w:pPr>
            <w:r w:rsidRPr="00295562">
              <w:t>T/R switch</w:t>
            </w:r>
          </w:p>
          <w:p w:rsidR="00000000" w:rsidRPr="00295562" w:rsidP="00295562">
            <w:pPr>
              <w:pStyle w:val="ListBullet4"/>
            </w:pPr>
            <w:r w:rsidRPr="00295562">
              <w:t>timer/timing</w:t>
            </w:r>
          </w:p>
          <w:p w:rsidR="00000000" w:rsidRPr="00295562" w:rsidP="00295562">
            <w:pPr>
              <w:pStyle w:val="ListBullet3"/>
            </w:pPr>
            <w:r w:rsidRPr="00295562">
              <w:t>sonar operating parameters</w:t>
            </w:r>
          </w:p>
          <w:p w:rsidR="00000000" w:rsidRPr="00295562" w:rsidP="00295562">
            <w:pPr>
              <w:pStyle w:val="ListBullet3"/>
            </w:pPr>
            <w:r w:rsidRPr="00295562">
              <w:t>sonar transmission characteristics</w:t>
            </w:r>
          </w:p>
          <w:p w:rsidR="00000000" w:rsidRPr="00295562" w:rsidP="00295562">
            <w:pPr>
              <w:pStyle w:val="ListBullet2"/>
            </w:pPr>
            <w:r w:rsidRPr="00295562">
              <w:t>electronic communications, sonar transducers and arrays:</w:t>
            </w:r>
          </w:p>
          <w:p w:rsidR="00000000" w:rsidRPr="00295562" w:rsidP="00295562">
            <w:pPr>
              <w:pStyle w:val="ListBullet3"/>
            </w:pPr>
            <w:r w:rsidRPr="00295562">
              <w:t>hazards and risk control measures</w:t>
            </w:r>
          </w:p>
          <w:p w:rsidR="00000000" w:rsidRPr="00295562" w:rsidP="00295562">
            <w:pPr>
              <w:pStyle w:val="ListBullet3"/>
            </w:pPr>
            <w:r w:rsidRPr="00295562">
              <w:t>transducer types, their operating principles and parameters</w:t>
            </w:r>
          </w:p>
          <w:p w:rsidR="00000000" w:rsidRPr="00295562" w:rsidP="00295562">
            <w:pPr>
              <w:pStyle w:val="ListBullet3"/>
            </w:pPr>
            <w:r w:rsidRPr="00295562">
              <w:t>transducer array encompassing:</w:t>
            </w:r>
          </w:p>
          <w:p w:rsidR="00000000" w:rsidRPr="00295562" w:rsidP="00295562">
            <w:pPr>
              <w:pStyle w:val="ListBullet4"/>
            </w:pPr>
            <w:r w:rsidRPr="00295562">
              <w:t>types and their construction</w:t>
            </w:r>
          </w:p>
          <w:p w:rsidR="00000000" w:rsidRPr="00295562" w:rsidP="00295562">
            <w:pPr>
              <w:pStyle w:val="ListBullet4"/>
            </w:pPr>
            <w:r w:rsidRPr="00295562">
              <w:t>applications</w:t>
            </w:r>
          </w:p>
          <w:p w:rsidR="00000000" w:rsidRPr="00295562" w:rsidP="00295562">
            <w:pPr>
              <w:pStyle w:val="ListBullet3"/>
            </w:pPr>
            <w:r w:rsidRPr="00295562">
              <w:t>transducer hull outfits</w:t>
            </w:r>
          </w:p>
          <w:p w:rsidR="00000000" w:rsidRPr="00295562" w:rsidP="00295562">
            <w:pPr>
              <w:pStyle w:val="ListBullet3"/>
            </w:pPr>
            <w:r w:rsidRPr="00295562">
              <w:t>beam forming principles and requirements</w:t>
            </w:r>
          </w:p>
          <w:p w:rsidR="00000000" w:rsidRPr="00295562" w:rsidP="00295562">
            <w:pPr>
              <w:pStyle w:val="ListBullet3"/>
            </w:pPr>
            <w:r w:rsidRPr="00295562">
              <w:t>transducer installation and operational maintenance</w:t>
            </w:r>
          </w:p>
          <w:p w:rsidR="00000000" w:rsidRPr="00295562" w:rsidP="00295562">
            <w:pPr>
              <w:pStyle w:val="ListBullet2"/>
            </w:pPr>
            <w:r w:rsidRPr="00295562">
              <w:t>electronic communications, sonar measurement and set-up:</w:t>
            </w:r>
          </w:p>
          <w:p w:rsidR="00000000" w:rsidRPr="00295562" w:rsidP="00295562">
            <w:pPr>
              <w:pStyle w:val="ListBullet3"/>
            </w:pPr>
            <w:r w:rsidRPr="00295562">
              <w:t>sonar parameters and measurements</w:t>
            </w:r>
          </w:p>
          <w:p w:rsidR="00000000" w:rsidRPr="00295562" w:rsidP="00295562">
            <w:pPr>
              <w:pStyle w:val="ListBullet3"/>
            </w:pPr>
            <w:r w:rsidRPr="00295562">
              <w:t>sonar physical parameters</w:t>
            </w:r>
          </w:p>
          <w:p w:rsidR="00000000" w:rsidRPr="00295562" w:rsidP="00295562">
            <w:pPr>
              <w:pStyle w:val="ListBullet3"/>
            </w:pPr>
            <w:r w:rsidRPr="00295562">
              <w:t>constraints and consequences</w:t>
            </w:r>
          </w:p>
          <w:p w:rsidR="00000000" w:rsidRPr="00295562" w:rsidP="00295562">
            <w:pPr>
              <w:pStyle w:val="ListBullet2"/>
            </w:pPr>
            <w:r w:rsidRPr="00295562">
              <w:t>electronic communications, radar and sonar displays devices:</w:t>
            </w:r>
          </w:p>
          <w:p w:rsidR="00000000" w:rsidRPr="00295562" w:rsidP="00295562">
            <w:pPr>
              <w:pStyle w:val="ListBullet3"/>
            </w:pPr>
            <w:r w:rsidRPr="00295562">
              <w:t>types and their applications – cathode-ray tube (CRT), plasma, liquid-crystal display (LCD), monochrome, colour and touch screen</w:t>
            </w:r>
          </w:p>
          <w:p w:rsidR="00000000" w:rsidRPr="00295562" w:rsidP="00295562">
            <w:pPr>
              <w:pStyle w:val="ListBullet3"/>
            </w:pPr>
            <w:r w:rsidRPr="00295562">
              <w:t>sub-system components (i.e. functional blocks) and their operatin</w:t>
            </w:r>
            <w:r w:rsidRPr="00295562">
              <w:t>g parameters encompassing:</w:t>
            </w:r>
          </w:p>
          <w:p w:rsidR="00000000" w:rsidRPr="00295562" w:rsidP="00295562">
            <w:pPr>
              <w:pStyle w:val="ListBullet4"/>
            </w:pPr>
            <w:r w:rsidRPr="00295562">
              <w:t>extra high tension (EHT) transformers</w:t>
            </w:r>
          </w:p>
          <w:p w:rsidR="00000000" w:rsidRPr="00295562" w:rsidP="00295562">
            <w:pPr>
              <w:pStyle w:val="ListBullet4"/>
            </w:pPr>
            <w:r w:rsidRPr="00295562">
              <w:t>detectors</w:t>
            </w:r>
          </w:p>
          <w:p w:rsidR="00000000" w:rsidRPr="00295562" w:rsidP="00295562">
            <w:pPr>
              <w:pStyle w:val="ListBullet4"/>
            </w:pPr>
            <w:r w:rsidRPr="00295562">
              <w:t>video distribution</w:t>
            </w:r>
          </w:p>
          <w:p w:rsidR="00000000" w:rsidRPr="00295562" w:rsidP="00295562">
            <w:pPr>
              <w:pStyle w:val="ListBullet4"/>
            </w:pPr>
            <w:r w:rsidRPr="00295562">
              <w:t>time base generators</w:t>
            </w:r>
          </w:p>
          <w:p w:rsidR="00000000" w:rsidRPr="00295562" w:rsidP="00295562">
            <w:pPr>
              <w:pStyle w:val="ListBullet4"/>
            </w:pPr>
            <w:r w:rsidRPr="00295562">
              <w:t>phase locked loops</w:t>
            </w:r>
          </w:p>
          <w:p w:rsidR="00000000" w:rsidRPr="00295562" w:rsidP="00295562">
            <w:pPr>
              <w:pStyle w:val="ListBullet4"/>
            </w:pPr>
            <w:r w:rsidRPr="00295562">
              <w:t>microprocessors</w:t>
            </w:r>
          </w:p>
          <w:p w:rsidR="00000000" w:rsidRPr="00295562" w:rsidP="00295562">
            <w:pPr>
              <w:pStyle w:val="ListBullet4"/>
            </w:pPr>
            <w:r w:rsidRPr="00295562">
              <w:t>memory devices</w:t>
            </w:r>
          </w:p>
          <w:p w:rsidR="00000000" w:rsidRPr="00295562" w:rsidP="00295562">
            <w:pPr>
              <w:pStyle w:val="ListBullet4"/>
            </w:pPr>
            <w:r w:rsidRPr="00295562">
              <w:t>demodulators</w:t>
            </w:r>
          </w:p>
          <w:p w:rsidR="00000000" w:rsidRPr="00295562" w:rsidP="00295562">
            <w:pPr>
              <w:pStyle w:val="ListBullet4"/>
            </w:pPr>
            <w:r w:rsidRPr="00295562">
              <w:t>focusing/deflection devices</w:t>
            </w:r>
          </w:p>
          <w:p w:rsidR="00000000" w:rsidRPr="00295562" w:rsidP="00295562">
            <w:pPr>
              <w:pStyle w:val="ListBullet4"/>
            </w:pPr>
            <w:r w:rsidRPr="00295562">
              <w:t>delay lines</w:t>
            </w:r>
          </w:p>
          <w:p w:rsidR="00000000" w:rsidRPr="00295562" w:rsidP="00295562">
            <w:pPr>
              <w:pStyle w:val="ListBullet4"/>
            </w:pPr>
            <w:r w:rsidRPr="00295562">
              <w:t>bleed resistors</w:t>
            </w:r>
          </w:p>
          <w:p w:rsidR="00000000" w:rsidRPr="00295562" w:rsidP="00295562">
            <w:pPr>
              <w:pStyle w:val="ListBullet4"/>
            </w:pPr>
            <w:r w:rsidRPr="00295562">
              <w:t>high voltage (HV) generation</w:t>
            </w:r>
          </w:p>
          <w:p w:rsidR="00000000" w:rsidRPr="00295562" w:rsidP="00295562">
            <w:pPr>
              <w:pStyle w:val="ListBullet3"/>
            </w:pPr>
            <w:r w:rsidRPr="00295562">
              <w:t>calibration testing and maintenance procedures</w:t>
            </w:r>
          </w:p>
          <w:p w:rsidR="00000000" w:rsidRPr="00295562" w:rsidP="00295562">
            <w:pPr>
              <w:pStyle w:val="ListBullet3"/>
            </w:pPr>
            <w:r w:rsidRPr="00295562">
              <w:t>typical fault finding, their symptoms and cause</w:t>
            </w:r>
          </w:p>
          <w:p w:rsidR="00000000" w:rsidRPr="00295562" w:rsidP="00295562">
            <w:pPr>
              <w:pStyle w:val="ListBullet2"/>
            </w:pPr>
            <w:r w:rsidRPr="00295562">
              <w:t>advanced electronic (sonar) testing and measuring devices and techniques:</w:t>
            </w:r>
          </w:p>
          <w:p w:rsidR="00000000" w:rsidRPr="00295562" w:rsidP="00295562">
            <w:pPr>
              <w:pStyle w:val="ListBullet3"/>
            </w:pPr>
            <w:r w:rsidRPr="00295562">
              <w:t>test/measuring devices and their application - frequency counters, and synthesisers, spectrum analysers, noise and distortion meters and radio frequency (RF) communications service monitor</w:t>
            </w:r>
          </w:p>
          <w:p w:rsidR="00000000" w:rsidRPr="00295562" w:rsidP="00295562">
            <w:pPr>
              <w:pStyle w:val="ListBullet3"/>
            </w:pPr>
            <w:r w:rsidRPr="00295562">
              <w:t>connection of test/measuring devices into a circuit encompassing:</w:t>
            </w:r>
          </w:p>
          <w:p w:rsidR="00000000" w:rsidRPr="00295562" w:rsidP="00295562">
            <w:pPr>
              <w:pStyle w:val="ListBullet4"/>
            </w:pPr>
            <w:r w:rsidRPr="00295562">
              <w:t>safety procedures</w:t>
            </w:r>
          </w:p>
          <w:p w:rsidR="00000000" w:rsidRPr="00295562" w:rsidP="00295562">
            <w:pPr>
              <w:pStyle w:val="ListBullet4"/>
            </w:pPr>
            <w:r w:rsidRPr="00295562">
              <w:t>loading and matching</w:t>
            </w:r>
          </w:p>
          <w:p w:rsidR="00000000" w:rsidRPr="00295562" w:rsidP="00295562">
            <w:pPr>
              <w:pStyle w:val="ListBullet4"/>
            </w:pPr>
            <w:r w:rsidRPr="00295562">
              <w:t>storage and delay</w:t>
            </w:r>
          </w:p>
          <w:p w:rsidR="00000000" w:rsidRPr="00295562" w:rsidP="00295562">
            <w:pPr>
              <w:pStyle w:val="ListBullet4"/>
            </w:pPr>
            <w:r w:rsidRPr="00295562">
              <w:t>circuit arrangement of test/measuring devices</w:t>
            </w:r>
          </w:p>
          <w:p w:rsidR="00000000" w:rsidRPr="00295562" w:rsidP="00295562">
            <w:pPr>
              <w:pStyle w:val="ListBullet3"/>
            </w:pPr>
            <w:r w:rsidRPr="00295562">
              <w:t>taking and interpreting readings</w:t>
            </w:r>
          </w:p>
          <w:p w:rsidR="00000000" w:rsidRPr="00295562" w:rsidP="00295562">
            <w:pPr>
              <w:pStyle w:val="ListBullet3"/>
            </w:pPr>
            <w:r w:rsidRPr="00295562">
              <w:t>notion of decibels, including dBm, dBr, dBu and dBo</w:t>
            </w:r>
          </w:p>
          <w:p w:rsidR="00000000" w:rsidRPr="00295562" w:rsidP="00295562">
            <w:pPr>
              <w:pStyle w:val="ListBullet2"/>
            </w:pPr>
            <w:r w:rsidRPr="00295562">
              <w:t>fault finding and repair:</w:t>
            </w:r>
          </w:p>
          <w:p w:rsidR="00000000" w:rsidRPr="00295562" w:rsidP="00295562">
            <w:pPr>
              <w:pStyle w:val="ListBullet3"/>
            </w:pPr>
            <w:r w:rsidRPr="00295562">
              <w:t>typical faults, their symptoms and cause</w:t>
            </w:r>
          </w:p>
          <w:p w:rsidR="00000000" w:rsidRPr="00295562" w:rsidP="00295562">
            <w:pPr>
              <w:pStyle w:val="ListBullet3"/>
            </w:pPr>
            <w:r w:rsidRPr="00295562">
              <w:t>fault diagnosis procedures and testing</w:t>
            </w:r>
          </w:p>
          <w:p w:rsidR="00000000" w:rsidRPr="00295562" w:rsidP="00295562">
            <w:pPr>
              <w:pStyle w:val="ListBullet3"/>
            </w:pPr>
            <w:r w:rsidRPr="00295562">
              <w:t>component replacement</w:t>
            </w:r>
          </w:p>
          <w:p w:rsidR="00000000" w:rsidRPr="00295562" w:rsidP="00295562">
            <w:pPr>
              <w:pStyle w:val="ListBullet3"/>
            </w:pPr>
            <w:r w:rsidRPr="00295562">
              <w:t>equipment adjustments</w:t>
            </w:r>
          </w:p>
          <w:p w:rsidR="00000000" w:rsidRPr="00295562" w:rsidP="00295562">
            <w:pPr>
              <w:pStyle w:val="ListBullet"/>
            </w:pPr>
            <w:r w:rsidRPr="00295562">
              <w:t>relevant manufacturer specifications</w:t>
            </w:r>
          </w:p>
          <w:p w:rsidR="00000000" w:rsidRPr="00295562" w:rsidP="00295562">
            <w:pPr>
              <w:pStyle w:val="ListBullet"/>
            </w:pPr>
            <w:r w:rsidRPr="00295562">
              <w:t>relevant WHS/OHS legislated requirements</w:t>
            </w:r>
          </w:p>
          <w:p w:rsidR="00000000" w:rsidRPr="00295562" w:rsidP="00295562">
            <w:pPr>
              <w:pStyle w:val="ListBullet"/>
            </w:pPr>
            <w:r w:rsidRPr="00295562">
              <w:t>relevant workplace documentation</w:t>
            </w:r>
          </w:p>
          <w:p w:rsidR="00000000" w:rsidRPr="00295562" w:rsidP="00295562">
            <w:pPr>
              <w:pStyle w:val="ListBullet"/>
            </w:pPr>
            <w:r w:rsidRPr="00295562">
              <w:t>relevant workplace policies and procedures.</w:t>
            </w:r>
          </w:p>
        </w:tc>
      </w:tr>
    </w:tbl>
    <w:p w:rsidR="00000000" w:rsidRPr="00295562" w:rsidP="00295562">
      <w:pPr>
        <w:pStyle w:val="NoPaddingFontSize1"/>
      </w:pPr>
    </w:p>
    <w:p w:rsidR="00000000" w:rsidRPr="00295562" w:rsidP="00295562">
      <w:pPr>
        <w:pStyle w:val="AllowPageBreak"/>
      </w:pPr>
    </w:p>
    <w:p w:rsidR="00000000" w:rsidRPr="00295562" w:rsidP="00295562">
      <w:pPr>
        <w:pStyle w:val="Heading1"/>
      </w:pPr>
      <w:bookmarkStart w:id="4" w:name="O_1080268"/>
      <w:bookmarkEnd w:id="4"/>
      <w:r w:rsidRPr="00295562">
        <w:t>Assessment Conditions</w:t>
      </w:r>
    </w:p>
    <w:tbl>
      <w:tblPr>
        <w:tblW w:w="9497" w:type="dxa"/>
        <w:tblLayout w:type="fixed"/>
        <w:tblCellMar>
          <w:left w:w="62" w:type="dxa"/>
          <w:right w:w="62" w:type="dxa"/>
        </w:tblCellMar>
        <w:tblLook w:val="0000"/>
      </w:tblPr>
      <w:tblGrid>
        <w:gridCol w:w="9497"/>
      </w:tblGrid>
      <w:tr w:rsidTr="002955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5562" w:rsidP="00295562">
            <w:pPr>
              <w:pStyle w:val="BodyText"/>
            </w:pPr>
            <w:r w:rsidRPr="00295562">
              <w:t>Assessors must hold credentials specified within the Standards for Registered Training Organisations current at the time of assessment.</w:t>
            </w:r>
          </w:p>
          <w:p w:rsidR="00000000" w:rsidRPr="00295562" w:rsidP="00295562">
            <w:pPr>
              <w:pStyle w:val="BodyText"/>
            </w:pPr>
            <w:r w:rsidRPr="00295562">
              <w:t>Assessment must satisfy the Princ</w:t>
            </w:r>
            <w:r w:rsidRPr="00295562">
              <w:t>iples of Assessment and Rules of Evidence and all regulatory requirements included within the Standards for Registered Training Organisations current at the time of assessment</w:t>
            </w:r>
          </w:p>
          <w:p w:rsidR="00000000" w:rsidRPr="00295562" w:rsidP="00295562">
            <w:pPr>
              <w:pStyle w:val="BodyText"/>
            </w:pPr>
            <w:r w:rsidRPr="00295562">
              <w:t>Assessment must occur in suitable workplace operational situations where it is a</w:t>
            </w:r>
            <w:r w:rsidRPr="00295562">
              <w:t>ppropriate to do so; where this is not appropriate, assessment must occur in simulated suitable workplace operational situations that replicate workplace conditions.</w:t>
            </w:r>
          </w:p>
          <w:p w:rsidR="00000000" w:rsidRPr="00295562" w:rsidP="00295562">
            <w:pPr>
              <w:pStyle w:val="BodyText"/>
            </w:pPr>
            <w:r w:rsidRPr="00295562">
              <w:t>Assessment processes and techniques must be appropriate to the language, literacy and nume</w:t>
            </w:r>
            <w:r w:rsidRPr="00295562">
              <w:t>racy requirements of the work being performed and the needs of the candidate.</w:t>
            </w:r>
          </w:p>
          <w:p w:rsidR="00000000" w:rsidRPr="00295562" w:rsidP="00295562">
            <w:pPr>
              <w:pStyle w:val="BodyText"/>
            </w:pPr>
            <w:r w:rsidRPr="00295562">
              <w:t>Resources for assessment must include access to:</w:t>
            </w:r>
          </w:p>
          <w:p w:rsidR="00000000" w:rsidRPr="00295562" w:rsidP="00295562">
            <w:pPr>
              <w:pStyle w:val="ListBullet"/>
            </w:pPr>
            <w:r w:rsidRPr="00295562">
              <w:t>a range of relevant exercises, case studies and/or other simulations</w:t>
            </w:r>
          </w:p>
          <w:p w:rsidR="00000000" w:rsidRPr="00295562" w:rsidP="00295562">
            <w:pPr>
              <w:pStyle w:val="ListBullet"/>
            </w:pPr>
            <w:r w:rsidRPr="00295562">
              <w:t>relevant and appropriate materials, tools, equipment and pe</w:t>
            </w:r>
            <w:r w:rsidRPr="00295562">
              <w:t>rsonal protective equipment (PPE) currently used in industry</w:t>
            </w:r>
          </w:p>
          <w:p w:rsidR="00000000" w:rsidRPr="00295562" w:rsidP="00295562">
            <w:pPr>
              <w:pStyle w:val="ListBullet"/>
            </w:pPr>
            <w:r w:rsidRPr="00295562">
              <w:t>resources that reflect current industry practices in relation to diagnosing and rectifying faults in sonar apparatus and systems</w:t>
            </w:r>
          </w:p>
          <w:p w:rsidR="00000000" w:rsidRPr="00295562" w:rsidP="00295562">
            <w:pPr>
              <w:pStyle w:val="ListBullet"/>
            </w:pPr>
            <w:r w:rsidRPr="00295562">
              <w:t>applicable documentation, including workplace procedures, equipment specifications, regulations, codes of practice and operation manuals.</w:t>
            </w:r>
          </w:p>
        </w:tc>
      </w:tr>
    </w:tbl>
    <w:p w:rsidR="00000000" w:rsidRPr="00295562" w:rsidP="00295562">
      <w:pPr>
        <w:pStyle w:val="NoPaddingFontSize1"/>
      </w:pPr>
    </w:p>
    <w:p w:rsidR="00000000" w:rsidRPr="00295562" w:rsidP="00295562">
      <w:pPr>
        <w:pStyle w:val="AllowPageBreak"/>
      </w:pPr>
    </w:p>
    <w:p w:rsidR="00000000" w:rsidRPr="00295562" w:rsidP="00295562">
      <w:pPr>
        <w:pStyle w:val="Heading1"/>
      </w:pPr>
      <w:bookmarkStart w:id="5" w:name="O_1080271"/>
      <w:bookmarkEnd w:id="5"/>
      <w:r w:rsidRPr="00295562">
        <w:t>Links</w:t>
      </w:r>
    </w:p>
    <w:p w:rsidR="00000000" w:rsidRPr="00295562" w:rsidP="00472481">
      <w:pPr>
        <w:pStyle w:val="BodyText"/>
      </w:pPr>
      <w:r w:rsidRPr="0029556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878FA">
        <w:rPr>
          <w:rStyle w:val="Hyperlink"/>
        </w:rPr>
        <w:t>https://vetnet.gov.au/Pages/TrainingDocs.aspx?q=b8a8f136-5421-4ce1-92e0-2b50341431b6</w:t>
      </w:r>
      <w:r>
        <w:fldChar w:fldCharType="end"/>
      </w:r>
    </w:p>
    <w:p w:rsidR="00000000" w:rsidRPr="00295562" w:rsidP="00295562"/>
    <w:sectPr w:rsidSect="002955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62" w:rsidRPr="00472481" w:rsidP="00472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481" w:rsidP="00295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481" w:rsidP="0029556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72481" w:rsidP="00295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562" w:rsidRPr="00472481" w:rsidP="00472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481" w:rsidRPr="002D2AF8" w:rsidP="00295562">
    <w:pPr>
      <w:pStyle w:val="Header"/>
      <w:framePr w:wrap="around"/>
    </w:pPr>
    <w:r>
      <w:fldChar w:fldCharType="begin"/>
    </w:r>
    <w:r>
      <w:instrText xml:space="preserve"> TITLE   \* MERGEFORMAT </w:instrText>
    </w:r>
    <w:r>
      <w:fldChar w:fldCharType="separate"/>
    </w:r>
    <w:r>
      <w:t>Assessment Requirements for UEEEC0036 Fault find and repair sonar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72481" w:rsidP="00295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C5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505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8A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562"/>
    <w:pPr>
      <w:spacing w:before="360" w:after="60"/>
      <w:outlineLvl w:val="0"/>
    </w:pPr>
    <w:rPr>
      <w:sz w:val="32"/>
    </w:rPr>
  </w:style>
  <w:style w:type="paragraph" w:styleId="Heading2">
    <w:name w:val="heading 2"/>
    <w:basedOn w:val="HeadingBase"/>
    <w:next w:val="BodyText"/>
    <w:link w:val="Heading2Char"/>
    <w:qFormat/>
    <w:rsid w:val="00295562"/>
    <w:pPr>
      <w:keepLines/>
      <w:spacing w:before="240" w:after="120"/>
      <w:outlineLvl w:val="1"/>
    </w:pPr>
    <w:rPr>
      <w:sz w:val="28"/>
      <w:szCs w:val="40"/>
    </w:rPr>
  </w:style>
  <w:style w:type="paragraph" w:styleId="Heading3">
    <w:name w:val="heading 3"/>
    <w:basedOn w:val="HeadingBase"/>
    <w:next w:val="BodyText"/>
    <w:link w:val="Heading3Char"/>
    <w:qFormat/>
    <w:rsid w:val="00295562"/>
    <w:pPr>
      <w:spacing w:before="180" w:after="120"/>
      <w:outlineLvl w:val="2"/>
    </w:pPr>
    <w:rPr>
      <w:spacing w:val="-10"/>
      <w:kern w:val="32"/>
    </w:rPr>
  </w:style>
  <w:style w:type="paragraph" w:styleId="Heading4">
    <w:name w:val="heading 4"/>
    <w:basedOn w:val="HeadingBase"/>
    <w:next w:val="BodyText"/>
    <w:link w:val="Heading4Char"/>
    <w:qFormat/>
    <w:rsid w:val="00295562"/>
    <w:pPr>
      <w:spacing w:before="160" w:after="120"/>
      <w:outlineLvl w:val="3"/>
    </w:pPr>
    <w:rPr>
      <w:sz w:val="22"/>
    </w:rPr>
  </w:style>
  <w:style w:type="paragraph" w:styleId="Heading5">
    <w:name w:val="heading 5"/>
    <w:basedOn w:val="HeadingBase"/>
    <w:next w:val="Normal"/>
    <w:link w:val="Heading5Char"/>
    <w:qFormat/>
    <w:rsid w:val="00295562"/>
    <w:pPr>
      <w:spacing w:before="80"/>
      <w:outlineLvl w:val="4"/>
    </w:pPr>
    <w:rPr>
      <w:color w:val="918585"/>
      <w:sz w:val="20"/>
    </w:rPr>
  </w:style>
  <w:style w:type="paragraph" w:styleId="Heading6">
    <w:name w:val="heading 6"/>
    <w:basedOn w:val="HeadingBase"/>
    <w:next w:val="Normal"/>
    <w:link w:val="Heading6Char"/>
    <w:qFormat/>
    <w:rsid w:val="00295562"/>
    <w:pPr>
      <w:spacing w:before="60"/>
      <w:outlineLvl w:val="5"/>
    </w:pPr>
    <w:rPr>
      <w:color w:val="918585"/>
      <w:sz w:val="20"/>
    </w:rPr>
  </w:style>
  <w:style w:type="paragraph" w:styleId="Heading7">
    <w:name w:val="heading 7"/>
    <w:basedOn w:val="Normal"/>
    <w:next w:val="Normal"/>
    <w:link w:val="Heading7Char"/>
    <w:qFormat/>
    <w:rsid w:val="00295562"/>
    <w:pPr>
      <w:ind w:left="720"/>
      <w:outlineLvl w:val="6"/>
    </w:pPr>
    <w:rPr>
      <w:i/>
    </w:rPr>
  </w:style>
  <w:style w:type="paragraph" w:styleId="Heading8">
    <w:name w:val="heading 8"/>
    <w:basedOn w:val="Normal"/>
    <w:next w:val="Normal"/>
    <w:link w:val="Heading8Char"/>
    <w:qFormat/>
    <w:rsid w:val="00295562"/>
    <w:pPr>
      <w:ind w:left="720"/>
      <w:outlineLvl w:val="7"/>
    </w:pPr>
    <w:rPr>
      <w:i/>
    </w:rPr>
  </w:style>
  <w:style w:type="paragraph" w:styleId="Heading9">
    <w:name w:val="heading 9"/>
    <w:basedOn w:val="Normal"/>
    <w:next w:val="Normal"/>
    <w:link w:val="Heading9Char"/>
    <w:qFormat/>
    <w:rsid w:val="00295562"/>
    <w:pPr>
      <w:ind w:left="720"/>
      <w:outlineLvl w:val="8"/>
    </w:pPr>
    <w:rPr>
      <w:i/>
    </w:rPr>
  </w:style>
  <w:style w:type="character" w:default="1" w:styleId="DefaultParagraphFont">
    <w:name w:val="Default Paragraph Font"/>
    <w:uiPriority w:val="1"/>
    <w:unhideWhenUsed/>
    <w:rsid w:val="00295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562"/>
  </w:style>
  <w:style w:type="character" w:customStyle="1" w:styleId="Heading1Char">
    <w:name w:val="Heading 1 Char"/>
    <w:basedOn w:val="DefaultParagraphFont"/>
    <w:link w:val="Heading1"/>
    <w:rsid w:val="00295562"/>
    <w:rPr>
      <w:rFonts w:ascii="Times New Roman" w:eastAsia="Times New Roman" w:hAnsi="Times New Roman" w:cs="Times New Roman"/>
      <w:b/>
      <w:sz w:val="32"/>
      <w:szCs w:val="20"/>
      <w:lang w:eastAsia="en-US"/>
    </w:rPr>
  </w:style>
  <w:style w:type="paragraph" w:styleId="BodyText">
    <w:name w:val="Body Text"/>
    <w:basedOn w:val="Normal"/>
    <w:link w:val="BodyTextChar"/>
    <w:rsid w:val="00295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562"/>
    <w:rPr>
      <w:rFonts w:ascii="Times New Roman" w:eastAsia="Times New Roman" w:hAnsi="Times New Roman" w:cs="Times New Roman"/>
      <w:sz w:val="24"/>
      <w:lang w:eastAsia="en-US"/>
    </w:rPr>
  </w:style>
  <w:style w:type="paragraph" w:styleId="ListBullet">
    <w:name w:val="List Bullet"/>
    <w:basedOn w:val="List"/>
    <w:rsid w:val="00295562"/>
    <w:pPr>
      <w:numPr>
        <w:numId w:val="14"/>
      </w:numPr>
      <w:tabs>
        <w:tab w:val="clear" w:pos="340"/>
      </w:tabs>
      <w:spacing w:before="40" w:after="40"/>
    </w:pPr>
  </w:style>
  <w:style w:type="paragraph" w:styleId="ListBullet2">
    <w:name w:val="List Bullet 2"/>
    <w:basedOn w:val="List2"/>
    <w:rsid w:val="00295562"/>
    <w:pPr>
      <w:numPr>
        <w:numId w:val="15"/>
      </w:numPr>
      <w:tabs>
        <w:tab w:val="clear" w:pos="680"/>
      </w:tabs>
    </w:pPr>
  </w:style>
  <w:style w:type="paragraph" w:customStyle="1" w:styleId="SuperHeading">
    <w:name w:val="SuperHeading"/>
    <w:basedOn w:val="Normal"/>
    <w:rsid w:val="00295562"/>
    <w:pPr>
      <w:spacing w:before="240" w:after="120"/>
      <w:outlineLvl w:val="0"/>
    </w:pPr>
    <w:rPr>
      <w:rFonts w:ascii="Times New Roman" w:hAnsi="Times New Roman"/>
      <w:b/>
      <w:sz w:val="32"/>
    </w:rPr>
  </w:style>
  <w:style w:type="paragraph" w:customStyle="1" w:styleId="AllowPageBreak">
    <w:name w:val="AllowPageBreak"/>
    <w:rsid w:val="002955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5562"/>
    <w:pPr>
      <w:numPr>
        <w:numId w:val="3"/>
      </w:numPr>
      <w:tabs>
        <w:tab w:val="clear" w:pos="1021"/>
      </w:tabs>
      <w:ind w:left="1037" w:hanging="357"/>
    </w:pPr>
  </w:style>
  <w:style w:type="paragraph" w:styleId="ListBullet4">
    <w:name w:val="List Bullet 4"/>
    <w:basedOn w:val="List4"/>
    <w:rsid w:val="00295562"/>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5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562"/>
    <w:rPr>
      <w:rFonts w:ascii="Courier New" w:eastAsia="Times New Roman" w:hAnsi="Courier New" w:cs="Times New Roman"/>
      <w:i/>
      <w:szCs w:val="20"/>
      <w:lang w:eastAsia="en-US"/>
    </w:rPr>
  </w:style>
  <w:style w:type="paragraph" w:customStyle="1" w:styleId="HeadingBase">
    <w:name w:val="Heading Base"/>
    <w:rsid w:val="00295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562"/>
    <w:pPr>
      <w:tabs>
        <w:tab w:val="right" w:leader="dot" w:pos="9072"/>
      </w:tabs>
      <w:ind w:left="567"/>
    </w:pPr>
    <w:rPr>
      <w:szCs w:val="22"/>
    </w:rPr>
  </w:style>
  <w:style w:type="paragraph" w:customStyle="1" w:styleId="TOCBase">
    <w:name w:val="TOC Base"/>
    <w:rsid w:val="00295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562"/>
    <w:pPr>
      <w:tabs>
        <w:tab w:val="right" w:leader="dot" w:pos="9072"/>
      </w:tabs>
      <w:spacing w:before="40" w:after="40"/>
      <w:ind w:left="284"/>
    </w:pPr>
    <w:rPr>
      <w:rFonts w:ascii="Times New Roman" w:hAnsi="Times New Roman"/>
    </w:rPr>
  </w:style>
  <w:style w:type="paragraph" w:styleId="TOC1">
    <w:name w:val="toc 1"/>
    <w:basedOn w:val="TOCBase"/>
    <w:next w:val="Normal"/>
    <w:rsid w:val="00295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562"/>
    <w:rPr>
      <w:rFonts w:ascii="Times New Roman" w:eastAsia="Times New Roman" w:hAnsi="Times New Roman" w:cs="Times New Roman"/>
      <w:sz w:val="16"/>
      <w:lang w:eastAsia="en-US"/>
    </w:rPr>
  </w:style>
  <w:style w:type="paragraph" w:styleId="Title">
    <w:name w:val="Title"/>
    <w:basedOn w:val="HeadingBase"/>
    <w:link w:val="TitleChar"/>
    <w:qFormat/>
    <w:rsid w:val="00295562"/>
    <w:pPr>
      <w:spacing w:before="5040"/>
      <w:jc w:val="center"/>
    </w:pPr>
    <w:rPr>
      <w:sz w:val="48"/>
      <w:szCs w:val="72"/>
      <w:lang w:val="en-US"/>
    </w:rPr>
  </w:style>
  <w:style w:type="character" w:customStyle="1" w:styleId="TitleChar">
    <w:name w:val="Title Char"/>
    <w:basedOn w:val="DefaultParagraphFont"/>
    <w:link w:val="Title"/>
    <w:rsid w:val="00295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562"/>
    <w:pPr>
      <w:tabs>
        <w:tab w:val="left" w:pos="3600"/>
        <w:tab w:val="left" w:pos="3958"/>
      </w:tabs>
    </w:pPr>
  </w:style>
  <w:style w:type="paragraph" w:styleId="List">
    <w:name w:val="List"/>
    <w:basedOn w:val="BodyText"/>
    <w:next w:val="BodyText"/>
    <w:rsid w:val="00295562"/>
    <w:pPr>
      <w:tabs>
        <w:tab w:val="left" w:pos="340"/>
      </w:tabs>
      <w:spacing w:before="60" w:after="60"/>
      <w:ind w:left="340" w:hanging="340"/>
    </w:pPr>
  </w:style>
  <w:style w:type="paragraph" w:customStyle="1" w:styleId="Note">
    <w:name w:val="Note"/>
    <w:basedOn w:val="BodyText"/>
    <w:rsid w:val="002955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5562"/>
    <w:rPr>
      <w:b/>
      <w:spacing w:val="0"/>
    </w:rPr>
  </w:style>
  <w:style w:type="paragraph" w:customStyle="1" w:styleId="SuperTitle">
    <w:name w:val="SuperTitle"/>
    <w:basedOn w:val="Title"/>
    <w:rsid w:val="00295562"/>
    <w:pPr>
      <w:framePr w:wrap="auto" w:hAnchor="text" w:y="6049"/>
    </w:pPr>
    <w:rPr>
      <w:color w:val="000000"/>
      <w:sz w:val="40"/>
    </w:rPr>
  </w:style>
  <w:style w:type="paragraph" w:customStyle="1" w:styleId="TOCTitle">
    <w:name w:val="TOCTitle"/>
    <w:basedOn w:val="Heading1"/>
    <w:rsid w:val="00295562"/>
    <w:pPr>
      <w:spacing w:after="240"/>
      <w:jc w:val="center"/>
      <w:outlineLvl w:val="9"/>
    </w:pPr>
    <w:rPr>
      <w:caps/>
    </w:rPr>
  </w:style>
  <w:style w:type="paragraph" w:customStyle="1" w:styleId="Version">
    <w:name w:val="Version"/>
    <w:rsid w:val="002955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562"/>
    <w:pPr>
      <w:keepNext w:val="0"/>
      <w:tabs>
        <w:tab w:val="right" w:pos="4176"/>
      </w:tabs>
      <w:ind w:left="198" w:hanging="198"/>
    </w:pPr>
    <w:rPr>
      <w:rFonts w:ascii="Garamond" w:hAnsi="Garamond"/>
    </w:rPr>
  </w:style>
  <w:style w:type="paragraph" w:styleId="IndexHeading">
    <w:name w:val="index heading"/>
    <w:basedOn w:val="Normal"/>
    <w:next w:val="Index1"/>
    <w:semiHidden/>
    <w:rsid w:val="00295562"/>
    <w:pPr>
      <w:spacing w:before="120" w:after="120"/>
    </w:pPr>
    <w:rPr>
      <w:rFonts w:ascii="Arial" w:hAnsi="Arial"/>
      <w:b/>
      <w:color w:val="918585"/>
      <w:sz w:val="24"/>
    </w:rPr>
  </w:style>
  <w:style w:type="paragraph" w:styleId="Header">
    <w:name w:val="header"/>
    <w:basedOn w:val="Normal"/>
    <w:link w:val="HeaderChar"/>
    <w:rsid w:val="00295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562"/>
    <w:rPr>
      <w:rFonts w:ascii="Times New Roman" w:eastAsia="Times New Roman" w:hAnsi="Times New Roman" w:cs="Times New Roman"/>
      <w:sz w:val="16"/>
      <w:szCs w:val="20"/>
      <w:lang w:val="en-GB" w:eastAsia="en-US"/>
    </w:rPr>
  </w:style>
  <w:style w:type="paragraph" w:customStyle="1" w:styleId="Chapter">
    <w:name w:val="Chapter"/>
    <w:basedOn w:val="Normal"/>
    <w:rsid w:val="00295562"/>
    <w:pPr>
      <w:spacing w:before="240"/>
    </w:pPr>
    <w:rPr>
      <w:rFonts w:ascii="Times New Roman" w:hAnsi="Times New Roman"/>
      <w:smallCaps/>
      <w:spacing w:val="80"/>
      <w:sz w:val="28"/>
    </w:rPr>
  </w:style>
  <w:style w:type="paragraph" w:customStyle="1" w:styleId="InChapter">
    <w:name w:val="InChapter"/>
    <w:basedOn w:val="Heading3"/>
    <w:rsid w:val="00295562"/>
    <w:pPr>
      <w:spacing w:after="240"/>
      <w:outlineLvl w:val="9"/>
    </w:pPr>
    <w:rPr>
      <w:noProof/>
    </w:rPr>
  </w:style>
  <w:style w:type="paragraph" w:styleId="Index2">
    <w:name w:val="index 2"/>
    <w:basedOn w:val="Normal"/>
    <w:next w:val="Normal"/>
    <w:semiHidden/>
    <w:rsid w:val="00295562"/>
    <w:pPr>
      <w:tabs>
        <w:tab w:val="right" w:pos="4176"/>
      </w:tabs>
      <w:ind w:left="568" w:hanging="284"/>
    </w:pPr>
    <w:rPr>
      <w:rFonts w:ascii="Garamond" w:hAnsi="Garamond"/>
    </w:rPr>
  </w:style>
  <w:style w:type="paragraph" w:customStyle="1" w:styleId="Byline">
    <w:name w:val="Byline"/>
    <w:rsid w:val="00295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562"/>
    <w:pPr>
      <w:tabs>
        <w:tab w:val="clear" w:pos="3600"/>
        <w:tab w:val="clear" w:pos="3958"/>
      </w:tabs>
      <w:jc w:val="right"/>
    </w:pPr>
  </w:style>
  <w:style w:type="character" w:styleId="Emphasis">
    <w:name w:val="Emphasis"/>
    <w:basedOn w:val="DefaultParagraphFont"/>
    <w:qFormat/>
    <w:rsid w:val="00295562"/>
    <w:rPr>
      <w:i/>
    </w:rPr>
  </w:style>
  <w:style w:type="paragraph" w:styleId="Caption">
    <w:name w:val="caption"/>
    <w:basedOn w:val="BodyText"/>
    <w:next w:val="Normal"/>
    <w:qFormat/>
    <w:rsid w:val="00295562"/>
    <w:pPr>
      <w:framePr w:w="2268" w:hSpace="181" w:vSpace="181" w:wrap="around" w:vAnchor="text" w:hAnchor="page" w:x="1135" w:y="285" w:anchorLock="1"/>
    </w:pPr>
    <w:rPr>
      <w:i/>
    </w:rPr>
  </w:style>
  <w:style w:type="paragraph" w:customStyle="1" w:styleId="MiniTOCTitle">
    <w:name w:val="MiniTOCTitle"/>
    <w:basedOn w:val="Heading4"/>
    <w:rsid w:val="00295562"/>
    <w:pPr>
      <w:spacing w:before="240"/>
      <w:outlineLvl w:val="9"/>
    </w:pPr>
    <w:rPr>
      <w:noProof/>
      <w:sz w:val="24"/>
    </w:rPr>
  </w:style>
  <w:style w:type="paragraph" w:customStyle="1" w:styleId="MiniTOCItem">
    <w:name w:val="MiniTOCItem"/>
    <w:basedOn w:val="ListBullet"/>
    <w:rsid w:val="00295562"/>
    <w:pPr>
      <w:numPr>
        <w:numId w:val="0"/>
      </w:numPr>
      <w:tabs>
        <w:tab w:val="right" w:leader="dot" w:pos="6521"/>
      </w:tabs>
      <w:spacing w:before="0" w:after="0"/>
    </w:pPr>
  </w:style>
  <w:style w:type="paragraph" w:customStyle="1" w:styleId="TOFTitle">
    <w:name w:val="TOFTitle"/>
    <w:basedOn w:val="TOCTitle"/>
    <w:rsid w:val="00295562"/>
  </w:style>
  <w:style w:type="paragraph" w:styleId="TableofFigures">
    <w:name w:val="table of figures"/>
    <w:basedOn w:val="Normal"/>
    <w:next w:val="Normal"/>
    <w:semiHidden/>
    <w:rsid w:val="00295562"/>
    <w:pPr>
      <w:tabs>
        <w:tab w:val="right" w:leader="dot" w:pos="9072"/>
      </w:tabs>
      <w:ind w:left="970" w:hanging="403"/>
    </w:pPr>
    <w:rPr>
      <w:rFonts w:ascii="Times New Roman" w:hAnsi="Times New Roman"/>
      <w:b/>
    </w:rPr>
  </w:style>
  <w:style w:type="paragraph" w:styleId="ListNumber">
    <w:name w:val="List Number"/>
    <w:basedOn w:val="List"/>
    <w:rsid w:val="00295562"/>
    <w:pPr>
      <w:numPr>
        <w:numId w:val="17"/>
      </w:numPr>
      <w:tabs>
        <w:tab w:val="clear" w:pos="340"/>
      </w:tabs>
    </w:pPr>
  </w:style>
  <w:style w:type="character" w:customStyle="1" w:styleId="WingdingSymbols">
    <w:name w:val="Wingding Symbols"/>
    <w:rsid w:val="00295562"/>
    <w:rPr>
      <w:rFonts w:ascii="Wingdings" w:hAnsi="Wingdings"/>
    </w:rPr>
  </w:style>
  <w:style w:type="paragraph" w:customStyle="1" w:styleId="TableHeading">
    <w:name w:val="Table Heading"/>
    <w:basedOn w:val="HeadingBase"/>
    <w:rsid w:val="00295562"/>
    <w:pPr>
      <w:keepLines/>
      <w:pBdr>
        <w:bottom w:val="single" w:sz="6" w:space="1" w:color="918585"/>
      </w:pBdr>
      <w:spacing w:before="240"/>
    </w:pPr>
  </w:style>
  <w:style w:type="character" w:customStyle="1" w:styleId="HotSpot">
    <w:name w:val="HotSpot"/>
    <w:rsid w:val="00295562"/>
    <w:rPr>
      <w:color w:val="0033CC"/>
      <w:u w:val="none"/>
    </w:rPr>
  </w:style>
  <w:style w:type="paragraph" w:customStyle="1" w:styleId="BodyTextRight">
    <w:name w:val="Body Text Right"/>
    <w:basedOn w:val="BodyText"/>
    <w:rsid w:val="00295562"/>
    <w:pPr>
      <w:spacing w:before="0" w:after="0"/>
      <w:jc w:val="right"/>
    </w:pPr>
  </w:style>
  <w:style w:type="paragraph" w:styleId="Index3">
    <w:name w:val="index 3"/>
    <w:basedOn w:val="ListNumber2"/>
    <w:next w:val="Normal"/>
    <w:semiHidden/>
    <w:rsid w:val="00295562"/>
    <w:pPr>
      <w:numPr>
        <w:numId w:val="0"/>
      </w:numPr>
      <w:tabs>
        <w:tab w:val="right" w:leader="dot" w:pos="4176"/>
      </w:tabs>
    </w:pPr>
  </w:style>
  <w:style w:type="paragraph" w:styleId="ListNumber2">
    <w:name w:val="List Number 2"/>
    <w:basedOn w:val="List2"/>
    <w:rsid w:val="00295562"/>
    <w:pPr>
      <w:numPr>
        <w:numId w:val="12"/>
      </w:numPr>
      <w:tabs>
        <w:tab w:val="clear" w:pos="1060"/>
      </w:tabs>
    </w:pPr>
  </w:style>
  <w:style w:type="paragraph" w:customStyle="1" w:styleId="MarginNote">
    <w:name w:val="Margin Note"/>
    <w:basedOn w:val="BodyText"/>
    <w:rsid w:val="00295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562"/>
    <w:rPr>
      <w:sz w:val="32"/>
    </w:rPr>
  </w:style>
  <w:style w:type="paragraph" w:customStyle="1" w:styleId="HeadingProcedure">
    <w:name w:val="Heading Procedure"/>
    <w:basedOn w:val="HeadingBase"/>
    <w:next w:val="Normal"/>
    <w:rsid w:val="00295562"/>
    <w:pPr>
      <w:tabs>
        <w:tab w:val="left" w:pos="0"/>
      </w:tabs>
      <w:spacing w:before="120" w:after="60"/>
    </w:pPr>
    <w:rPr>
      <w:i/>
      <w:color w:val="918585"/>
      <w:sz w:val="22"/>
    </w:rPr>
  </w:style>
  <w:style w:type="paragraph" w:customStyle="1" w:styleId="TableBodyText">
    <w:name w:val="Table Body Text"/>
    <w:basedOn w:val="BodyText"/>
    <w:rsid w:val="00295562"/>
    <w:pPr>
      <w:spacing w:before="60" w:after="60"/>
    </w:pPr>
  </w:style>
  <w:style w:type="paragraph" w:styleId="ListContinue">
    <w:name w:val="List Continue"/>
    <w:basedOn w:val="List"/>
    <w:rsid w:val="00295562"/>
    <w:pPr>
      <w:ind w:firstLine="0"/>
    </w:pPr>
  </w:style>
  <w:style w:type="paragraph" w:customStyle="1" w:styleId="ListNote">
    <w:name w:val="List Note"/>
    <w:basedOn w:val="List"/>
    <w:rsid w:val="00295562"/>
    <w:pPr>
      <w:pBdr>
        <w:top w:val="single" w:sz="6" w:space="2" w:color="918585"/>
        <w:bottom w:val="single" w:sz="6" w:space="2" w:color="918585"/>
      </w:pBdr>
      <w:tabs>
        <w:tab w:val="left" w:pos="1021"/>
      </w:tabs>
      <w:ind w:firstLine="0"/>
    </w:pPr>
  </w:style>
  <w:style w:type="paragraph" w:customStyle="1" w:styleId="Warning">
    <w:name w:val="Warning"/>
    <w:basedOn w:val="BodyText"/>
    <w:rsid w:val="00295562"/>
    <w:pPr>
      <w:shd w:val="clear" w:color="auto" w:fill="D9D9D9"/>
      <w:tabs>
        <w:tab w:val="left" w:pos="992"/>
      </w:tabs>
      <w:ind w:left="119" w:right="119"/>
    </w:pPr>
    <w:rPr>
      <w:sz w:val="20"/>
    </w:rPr>
  </w:style>
  <w:style w:type="paragraph" w:customStyle="1" w:styleId="MarginIcons">
    <w:name w:val="Margin Icons"/>
    <w:basedOn w:val="BodyText"/>
    <w:rsid w:val="00295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562"/>
    <w:rPr>
      <w:rFonts w:ascii="Courier New" w:hAnsi="Courier New"/>
    </w:rPr>
  </w:style>
  <w:style w:type="paragraph" w:customStyle="1" w:styleId="NoteBullet">
    <w:name w:val="Note Bullet"/>
    <w:basedOn w:val="Note"/>
    <w:rsid w:val="00295562"/>
    <w:pPr>
      <w:tabs>
        <w:tab w:val="clear" w:pos="680"/>
      </w:tabs>
      <w:spacing w:before="60" w:after="60"/>
    </w:pPr>
  </w:style>
  <w:style w:type="paragraph" w:customStyle="1" w:styleId="SubHeading2">
    <w:name w:val="SubHeading2"/>
    <w:basedOn w:val="HeadingBase"/>
    <w:rsid w:val="00295562"/>
    <w:pPr>
      <w:spacing w:before="240" w:after="60"/>
    </w:pPr>
    <w:rPr>
      <w:sz w:val="20"/>
    </w:rPr>
  </w:style>
  <w:style w:type="paragraph" w:customStyle="1" w:styleId="SubHeading1">
    <w:name w:val="SubHeading1"/>
    <w:basedOn w:val="HeadingBase"/>
    <w:rsid w:val="00295562"/>
    <w:pPr>
      <w:spacing w:before="240" w:after="60"/>
    </w:pPr>
    <w:rPr>
      <w:color w:val="918585"/>
      <w:sz w:val="22"/>
    </w:rPr>
  </w:style>
  <w:style w:type="paragraph" w:customStyle="1" w:styleId="SideHeading">
    <w:name w:val="Side Heading"/>
    <w:basedOn w:val="HeadingBase"/>
    <w:rsid w:val="00295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562"/>
    <w:pPr>
      <w:numPr>
        <w:numId w:val="13"/>
      </w:numPr>
    </w:pPr>
  </w:style>
  <w:style w:type="paragraph" w:styleId="PlainText">
    <w:name w:val="Plain Text"/>
    <w:basedOn w:val="Normal"/>
    <w:link w:val="PlainTextChar"/>
    <w:rsid w:val="00295562"/>
    <w:rPr>
      <w:sz w:val="20"/>
    </w:rPr>
  </w:style>
  <w:style w:type="character" w:customStyle="1" w:styleId="PlainTextChar">
    <w:name w:val="Plain Text Char"/>
    <w:basedOn w:val="DefaultParagraphFont"/>
    <w:link w:val="PlainText"/>
    <w:rsid w:val="00295562"/>
    <w:rPr>
      <w:rFonts w:ascii="Courier New" w:eastAsia="Times New Roman" w:hAnsi="Courier New" w:cs="Times New Roman"/>
      <w:sz w:val="20"/>
      <w:szCs w:val="20"/>
      <w:lang w:eastAsia="en-US"/>
    </w:rPr>
  </w:style>
  <w:style w:type="character" w:customStyle="1" w:styleId="MenuOption">
    <w:name w:val="Menu Option"/>
    <w:basedOn w:val="DefaultParagraphFont"/>
    <w:rsid w:val="00295562"/>
    <w:rPr>
      <w:b/>
      <w:smallCaps/>
    </w:rPr>
  </w:style>
  <w:style w:type="paragraph" w:customStyle="1" w:styleId="TableListNumber">
    <w:name w:val="Table List Number"/>
    <w:basedOn w:val="ListNumber"/>
    <w:rsid w:val="00295562"/>
    <w:pPr>
      <w:numPr>
        <w:numId w:val="0"/>
      </w:numPr>
    </w:pPr>
  </w:style>
  <w:style w:type="paragraph" w:styleId="TOC4">
    <w:name w:val="toc 4"/>
    <w:basedOn w:val="TOCBase"/>
    <w:next w:val="Normal"/>
    <w:semiHidden/>
    <w:rsid w:val="00295562"/>
    <w:pPr>
      <w:tabs>
        <w:tab w:val="right" w:leader="dot" w:pos="9071"/>
      </w:tabs>
      <w:ind w:left="1701"/>
    </w:pPr>
  </w:style>
  <w:style w:type="paragraph" w:customStyle="1" w:styleId="ListAlpha">
    <w:name w:val="List Alpha"/>
    <w:basedOn w:val="List"/>
    <w:rsid w:val="00295562"/>
    <w:pPr>
      <w:numPr>
        <w:numId w:val="11"/>
      </w:numPr>
    </w:pPr>
  </w:style>
  <w:style w:type="paragraph" w:customStyle="1" w:styleId="ListAlpha2">
    <w:name w:val="List Alpha 2"/>
    <w:basedOn w:val="List2"/>
    <w:rsid w:val="00295562"/>
    <w:pPr>
      <w:numPr>
        <w:numId w:val="10"/>
      </w:numPr>
    </w:pPr>
  </w:style>
  <w:style w:type="paragraph" w:styleId="List2">
    <w:name w:val="List 2"/>
    <w:basedOn w:val="BodyText"/>
    <w:rsid w:val="00295562"/>
    <w:pPr>
      <w:tabs>
        <w:tab w:val="left" w:pos="680"/>
      </w:tabs>
      <w:spacing w:before="60" w:after="60"/>
      <w:ind w:left="680" w:hanging="340"/>
    </w:pPr>
  </w:style>
  <w:style w:type="paragraph" w:styleId="List3">
    <w:name w:val="List 3"/>
    <w:basedOn w:val="BodyText"/>
    <w:rsid w:val="00295562"/>
    <w:pPr>
      <w:tabs>
        <w:tab w:val="left" w:pos="1021"/>
      </w:tabs>
      <w:spacing w:before="60" w:after="60"/>
      <w:ind w:left="1020" w:hanging="340"/>
    </w:pPr>
  </w:style>
  <w:style w:type="paragraph" w:styleId="List4">
    <w:name w:val="List 4"/>
    <w:basedOn w:val="BodyText"/>
    <w:rsid w:val="00295562"/>
    <w:pPr>
      <w:tabs>
        <w:tab w:val="left" w:pos="1361"/>
      </w:tabs>
      <w:spacing w:before="60" w:after="60"/>
      <w:ind w:left="1361" w:hanging="340"/>
    </w:pPr>
  </w:style>
  <w:style w:type="paragraph" w:styleId="List5">
    <w:name w:val="List 5"/>
    <w:basedOn w:val="BodyText"/>
    <w:rsid w:val="00295562"/>
    <w:pPr>
      <w:tabs>
        <w:tab w:val="left" w:pos="1701"/>
      </w:tabs>
      <w:spacing w:before="60" w:after="60"/>
      <w:ind w:left="1701" w:hanging="340"/>
    </w:pPr>
  </w:style>
  <w:style w:type="paragraph" w:styleId="ListBullet5">
    <w:name w:val="List Bullet 5"/>
    <w:basedOn w:val="List5"/>
    <w:rsid w:val="00295562"/>
    <w:pPr>
      <w:numPr>
        <w:numId w:val="6"/>
      </w:numPr>
    </w:pPr>
  </w:style>
  <w:style w:type="paragraph" w:styleId="ListContinue2">
    <w:name w:val="List Continue 2"/>
    <w:basedOn w:val="List2"/>
    <w:rsid w:val="00295562"/>
    <w:pPr>
      <w:ind w:firstLine="0"/>
    </w:pPr>
  </w:style>
  <w:style w:type="paragraph" w:styleId="ListContinue3">
    <w:name w:val="List Continue 3"/>
    <w:basedOn w:val="List3"/>
    <w:rsid w:val="00295562"/>
    <w:pPr>
      <w:ind w:left="1021" w:firstLine="0"/>
    </w:pPr>
  </w:style>
  <w:style w:type="paragraph" w:styleId="ListContinue4">
    <w:name w:val="List Continue 4"/>
    <w:basedOn w:val="List4"/>
    <w:rsid w:val="00295562"/>
    <w:pPr>
      <w:ind w:firstLine="0"/>
    </w:pPr>
  </w:style>
  <w:style w:type="paragraph" w:styleId="ListContinue5">
    <w:name w:val="List Continue 5"/>
    <w:basedOn w:val="List5"/>
    <w:rsid w:val="00295562"/>
    <w:pPr>
      <w:ind w:firstLine="0"/>
    </w:pPr>
  </w:style>
  <w:style w:type="paragraph" w:styleId="ListNumber3">
    <w:name w:val="List Number 3"/>
    <w:basedOn w:val="List3"/>
    <w:rsid w:val="00295562"/>
    <w:pPr>
      <w:numPr>
        <w:numId w:val="7"/>
      </w:numPr>
    </w:pPr>
  </w:style>
  <w:style w:type="paragraph" w:styleId="ListNumber4">
    <w:name w:val="List Number 4"/>
    <w:basedOn w:val="List4"/>
    <w:rsid w:val="00295562"/>
    <w:pPr>
      <w:numPr>
        <w:numId w:val="8"/>
      </w:numPr>
    </w:pPr>
  </w:style>
  <w:style w:type="paragraph" w:styleId="ListNumber5">
    <w:name w:val="List Number 5"/>
    <w:basedOn w:val="List5"/>
    <w:rsid w:val="00295562"/>
    <w:pPr>
      <w:numPr>
        <w:numId w:val="9"/>
      </w:numPr>
    </w:pPr>
  </w:style>
  <w:style w:type="paragraph" w:styleId="BlockText">
    <w:name w:val="Block Text"/>
    <w:basedOn w:val="Normal"/>
    <w:rsid w:val="00295562"/>
    <w:pPr>
      <w:spacing w:after="120"/>
      <w:ind w:left="1440" w:right="1440"/>
    </w:pPr>
  </w:style>
  <w:style w:type="character" w:customStyle="1" w:styleId="Subscript">
    <w:name w:val="Subscript"/>
    <w:basedOn w:val="DefaultParagraphFont"/>
    <w:rsid w:val="00295562"/>
    <w:rPr>
      <w:sz w:val="16"/>
      <w:vertAlign w:val="subscript"/>
    </w:rPr>
  </w:style>
  <w:style w:type="character" w:customStyle="1" w:styleId="Superscript">
    <w:name w:val="Superscript"/>
    <w:basedOn w:val="DefaultParagraphFont"/>
    <w:rsid w:val="00295562"/>
    <w:rPr>
      <w:sz w:val="16"/>
      <w:vertAlign w:val="superscript"/>
    </w:rPr>
  </w:style>
  <w:style w:type="character" w:customStyle="1" w:styleId="Symbols">
    <w:name w:val="Symbols"/>
    <w:basedOn w:val="DefaultParagraphFont"/>
    <w:rsid w:val="00295562"/>
    <w:rPr>
      <w:rFonts w:ascii="Symbol" w:hAnsi="Symbol"/>
    </w:rPr>
  </w:style>
  <w:style w:type="character" w:customStyle="1" w:styleId="MenuOptions">
    <w:name w:val="Menu Options"/>
    <w:basedOn w:val="DefaultParagraphFont"/>
    <w:rsid w:val="00295562"/>
    <w:rPr>
      <w:rFonts w:ascii="Arial Narrow" w:hAnsi="Arial Narrow"/>
      <w:smallCaps/>
    </w:rPr>
  </w:style>
  <w:style w:type="character" w:customStyle="1" w:styleId="Buttons">
    <w:name w:val="Buttons"/>
    <w:basedOn w:val="DefaultParagraphFont"/>
    <w:rsid w:val="00295562"/>
    <w:rPr>
      <w:b/>
    </w:rPr>
  </w:style>
  <w:style w:type="character" w:customStyle="1" w:styleId="Underlined">
    <w:name w:val="Underlined"/>
    <w:basedOn w:val="DefaultParagraphFont"/>
    <w:rsid w:val="00295562"/>
    <w:rPr>
      <w:u w:val="single"/>
    </w:rPr>
  </w:style>
  <w:style w:type="paragraph" w:customStyle="1" w:styleId="TableBodyTextRight">
    <w:name w:val="Table Body Text Right"/>
    <w:basedOn w:val="TableBodyText"/>
    <w:rsid w:val="00295562"/>
    <w:pPr>
      <w:widowControl w:val="0"/>
      <w:autoSpaceDE w:val="0"/>
      <w:autoSpaceDN w:val="0"/>
      <w:adjustRightInd w:val="0"/>
      <w:jc w:val="right"/>
    </w:pPr>
    <w:rPr>
      <w:rFonts w:cs="Arial"/>
      <w:szCs w:val="18"/>
    </w:rPr>
  </w:style>
  <w:style w:type="paragraph" w:customStyle="1" w:styleId="CopyrightText">
    <w:name w:val="Copyright Text"/>
    <w:basedOn w:val="BodyText"/>
    <w:rsid w:val="00295562"/>
    <w:rPr>
      <w:sz w:val="18"/>
    </w:rPr>
  </w:style>
  <w:style w:type="paragraph" w:customStyle="1" w:styleId="BodySmallRight">
    <w:name w:val="Body Small Right"/>
    <w:basedOn w:val="BodyTextRight"/>
    <w:rsid w:val="00295562"/>
    <w:rPr>
      <w:sz w:val="18"/>
      <w:szCs w:val="18"/>
    </w:rPr>
  </w:style>
  <w:style w:type="paragraph" w:customStyle="1" w:styleId="MarginEdition">
    <w:name w:val="Margin Edition"/>
    <w:basedOn w:val="MarginNote"/>
    <w:rsid w:val="00295562"/>
    <w:pPr>
      <w:spacing w:before="0" w:after="0"/>
    </w:pPr>
    <w:rPr>
      <w:rFonts w:ascii="Times New Roman" w:hAnsi="Times New Roman"/>
      <w:color w:val="999999"/>
    </w:rPr>
  </w:style>
  <w:style w:type="paragraph" w:customStyle="1" w:styleId="Spacer">
    <w:name w:val="Spacer"/>
    <w:basedOn w:val="Normal"/>
    <w:rsid w:val="00295562"/>
    <w:rPr>
      <w:sz w:val="2"/>
      <w:szCs w:val="2"/>
    </w:rPr>
  </w:style>
  <w:style w:type="character" w:customStyle="1" w:styleId="Small">
    <w:name w:val="Small"/>
    <w:basedOn w:val="DefaultParagraphFont"/>
    <w:rsid w:val="00295562"/>
    <w:rPr>
      <w:sz w:val="16"/>
    </w:rPr>
  </w:style>
  <w:style w:type="paragraph" w:customStyle="1" w:styleId="WideTable">
    <w:name w:val="Wide Table"/>
    <w:basedOn w:val="Normal"/>
    <w:rsid w:val="00295562"/>
    <w:pPr>
      <w:ind w:left="-1418"/>
    </w:pPr>
    <w:rPr>
      <w:sz w:val="2"/>
      <w:szCs w:val="2"/>
    </w:rPr>
  </w:style>
  <w:style w:type="character" w:styleId="PageNumber">
    <w:name w:val="page number"/>
    <w:basedOn w:val="DefaultParagraphFont"/>
    <w:rsid w:val="00295562"/>
  </w:style>
  <w:style w:type="paragraph" w:styleId="Quote">
    <w:name w:val="Quote"/>
    <w:basedOn w:val="Heading1"/>
    <w:link w:val="QuoteChar"/>
    <w:qFormat/>
    <w:rsid w:val="00295562"/>
    <w:rPr>
      <w:b w:val="0"/>
      <w:sz w:val="72"/>
      <w:szCs w:val="72"/>
      <w:lang w:val="en-NZ"/>
    </w:rPr>
  </w:style>
  <w:style w:type="character" w:customStyle="1" w:styleId="QuoteChar">
    <w:name w:val="Quote Char"/>
    <w:basedOn w:val="DefaultParagraphFont"/>
    <w:link w:val="Quote"/>
    <w:rsid w:val="00295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562"/>
    <w:pPr>
      <w:pageBreakBefore/>
    </w:pPr>
  </w:style>
  <w:style w:type="paragraph" w:customStyle="1" w:styleId="Border">
    <w:name w:val="Border"/>
    <w:basedOn w:val="Normal"/>
    <w:qFormat/>
    <w:rsid w:val="00295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562"/>
    <w:rPr>
      <w:b/>
      <w:bCs/>
      <w:i/>
      <w:iCs/>
      <w:color w:val="auto"/>
    </w:rPr>
  </w:style>
  <w:style w:type="paragraph" w:styleId="IntenseQuote">
    <w:name w:val="Intense Quote"/>
    <w:basedOn w:val="Normal"/>
    <w:next w:val="Normal"/>
    <w:link w:val="IntenseQuoteChar"/>
    <w:uiPriority w:val="30"/>
    <w:qFormat/>
    <w:rsid w:val="00295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562"/>
    <w:rPr>
      <w:smallCaps/>
      <w:color w:val="auto"/>
      <w:u w:val="single"/>
    </w:rPr>
  </w:style>
  <w:style w:type="character" w:styleId="IntenseReference">
    <w:name w:val="Intense Reference"/>
    <w:basedOn w:val="DefaultParagraphFont"/>
    <w:uiPriority w:val="32"/>
    <w:qFormat/>
    <w:rsid w:val="00295562"/>
    <w:rPr>
      <w:b/>
      <w:bCs/>
      <w:smallCaps/>
      <w:color w:val="auto"/>
      <w:spacing w:val="5"/>
      <w:u w:val="single"/>
    </w:rPr>
  </w:style>
  <w:style w:type="paragraph" w:customStyle="1" w:styleId="2ColumnHeading">
    <w:name w:val="2Column Heading"/>
    <w:basedOn w:val="BodyText"/>
    <w:qFormat/>
    <w:rsid w:val="00295562"/>
    <w:pPr>
      <w:spacing w:after="60"/>
      <w:ind w:left="-2268"/>
    </w:pPr>
    <w:rPr>
      <w:b/>
    </w:rPr>
  </w:style>
  <w:style w:type="paragraph" w:customStyle="1" w:styleId="Heading1TOC">
    <w:name w:val="Heading1 TOC"/>
    <w:basedOn w:val="Normal"/>
    <w:qFormat/>
    <w:rsid w:val="00295562"/>
    <w:pPr>
      <w:spacing w:before="240" w:after="120"/>
    </w:pPr>
    <w:rPr>
      <w:rFonts w:ascii="Times New Roman" w:hAnsi="Times New Roman"/>
      <w:b/>
      <w:sz w:val="32"/>
    </w:rPr>
  </w:style>
  <w:style w:type="paragraph" w:customStyle="1" w:styleId="Heading2TOC">
    <w:name w:val="Heading2 TOC"/>
    <w:basedOn w:val="Normal"/>
    <w:qFormat/>
    <w:rsid w:val="00295562"/>
    <w:pPr>
      <w:spacing w:before="240" w:after="60"/>
    </w:pPr>
    <w:rPr>
      <w:rFonts w:ascii="Times New Roman" w:hAnsi="Times New Roman"/>
      <w:b/>
      <w:sz w:val="28"/>
    </w:rPr>
  </w:style>
  <w:style w:type="character" w:customStyle="1" w:styleId="Underline">
    <w:name w:val="Underline"/>
    <w:basedOn w:val="DefaultParagraphFont"/>
    <w:qFormat/>
    <w:rsid w:val="00295562"/>
    <w:rPr>
      <w:u w:val="single"/>
    </w:rPr>
  </w:style>
  <w:style w:type="character" w:customStyle="1" w:styleId="BoldandItalics">
    <w:name w:val="Bold and Italics"/>
    <w:qFormat/>
    <w:rsid w:val="00295562"/>
    <w:rPr>
      <w:b/>
      <w:i/>
      <w:u w:val="none"/>
    </w:rPr>
  </w:style>
  <w:style w:type="paragraph" w:styleId="BalloonText">
    <w:name w:val="Balloon Text"/>
    <w:basedOn w:val="Normal"/>
    <w:link w:val="BalloonTextChar"/>
    <w:rsid w:val="00295562"/>
    <w:rPr>
      <w:rFonts w:ascii="Tahoma" w:hAnsi="Tahoma" w:cs="Tahoma"/>
      <w:sz w:val="16"/>
      <w:szCs w:val="16"/>
    </w:rPr>
  </w:style>
  <w:style w:type="character" w:customStyle="1" w:styleId="BalloonTextChar">
    <w:name w:val="Balloon Text Char"/>
    <w:basedOn w:val="DefaultParagraphFont"/>
    <w:link w:val="BalloonText"/>
    <w:rsid w:val="00295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562"/>
    <w:rPr>
      <w:b/>
      <w:color w:val="660033"/>
      <w:spacing w:val="0"/>
    </w:rPr>
  </w:style>
  <w:style w:type="paragraph" w:customStyle="1" w:styleId="Nameditemlist">
    <w:name w:val="Named item list"/>
    <w:basedOn w:val="BodyText"/>
    <w:qFormat/>
    <w:rsid w:val="00295562"/>
    <w:pPr>
      <w:tabs>
        <w:tab w:val="left" w:pos="2835"/>
      </w:tabs>
      <w:ind w:left="2835" w:hanging="2835"/>
    </w:pPr>
  </w:style>
  <w:style w:type="paragraph" w:customStyle="1" w:styleId="BodyTextnopadding">
    <w:name w:val="Body Text no padding"/>
    <w:basedOn w:val="BodyText"/>
    <w:qFormat/>
    <w:rsid w:val="00295562"/>
    <w:pPr>
      <w:spacing w:before="0" w:after="0"/>
    </w:pPr>
  </w:style>
  <w:style w:type="paragraph" w:customStyle="1" w:styleId="BodyTextBold">
    <w:name w:val="Body Text Bold"/>
    <w:basedOn w:val="BodyText"/>
    <w:qFormat/>
    <w:rsid w:val="00295562"/>
    <w:rPr>
      <w:b/>
    </w:rPr>
  </w:style>
  <w:style w:type="character" w:styleId="Hyperlink">
    <w:name w:val="Hyperlink"/>
    <w:basedOn w:val="DefaultParagraphFont"/>
    <w:uiPriority w:val="99"/>
    <w:unhideWhenUsed/>
    <w:rsid w:val="00472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5068</Characters>
  <Application>Microsoft Office Word</Application>
  <DocSecurity>0</DocSecurity>
  <Lines>140</Lines>
  <Paragraphs>120</Paragraphs>
  <ScaleCrop>false</ScaleCrop>
  <Company>Author-it Software Corporation Ltd.</Company>
  <LinksUpToDate>false</LinksUpToDate>
  <CharactersWithSpaces>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UEEEC0036 Fault find and repair sonar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